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45E6" w14:textId="73FAF240" w:rsidR="0021239D" w:rsidRPr="00AF0A55" w:rsidRDefault="00AF0A55" w:rsidP="00AF0A55">
      <w:pPr>
        <w:pStyle w:val="NormalWeb"/>
        <w:spacing w:before="0" w:beforeAutospacing="0" w:after="0" w:afterAutospacing="0"/>
        <w:jc w:val="center"/>
        <w:rPr>
          <w:b/>
          <w:bCs/>
          <w:sz w:val="28"/>
          <w:szCs w:val="28"/>
          <w:lang w:val="en-US"/>
        </w:rPr>
      </w:pPr>
      <w:r w:rsidRPr="00AF0A55">
        <w:rPr>
          <w:b/>
          <w:bCs/>
          <w:sz w:val="28"/>
          <w:szCs w:val="28"/>
        </w:rPr>
        <w:t xml:space="preserve">Rekonstruksi Kebijakan CSR </w:t>
      </w:r>
      <w:r w:rsidRPr="00AF0A55">
        <w:rPr>
          <w:b/>
          <w:bCs/>
          <w:sz w:val="28"/>
          <w:szCs w:val="28"/>
          <w:lang w:val="en-US"/>
        </w:rPr>
        <w:t>d</w:t>
      </w:r>
      <w:r w:rsidRPr="00AF0A55">
        <w:rPr>
          <w:b/>
          <w:bCs/>
          <w:sz w:val="28"/>
          <w:szCs w:val="28"/>
        </w:rPr>
        <w:t>i Indonesia</w:t>
      </w:r>
      <w:r w:rsidRPr="00AF0A55">
        <w:rPr>
          <w:b/>
          <w:bCs/>
          <w:sz w:val="28"/>
          <w:szCs w:val="28"/>
          <w:lang w:val="en-US"/>
        </w:rPr>
        <w:t xml:space="preserve"> Sesuai </w:t>
      </w:r>
      <w:r w:rsidRPr="00AF0A55">
        <w:rPr>
          <w:b/>
          <w:bCs/>
          <w:sz w:val="28"/>
          <w:szCs w:val="28"/>
        </w:rPr>
        <w:t xml:space="preserve">Analisis Hukum, Implementasi, </w:t>
      </w:r>
      <w:r w:rsidRPr="00AF0A55">
        <w:rPr>
          <w:b/>
          <w:bCs/>
          <w:sz w:val="28"/>
          <w:szCs w:val="28"/>
          <w:lang w:val="en-US"/>
        </w:rPr>
        <w:t>d</w:t>
      </w:r>
      <w:r w:rsidRPr="00AF0A55">
        <w:rPr>
          <w:b/>
          <w:bCs/>
          <w:sz w:val="28"/>
          <w:szCs w:val="28"/>
        </w:rPr>
        <w:t>an Arah</w:t>
      </w:r>
      <w:r w:rsidRPr="00AF0A55">
        <w:rPr>
          <w:b/>
          <w:bCs/>
          <w:sz w:val="28"/>
          <w:szCs w:val="28"/>
          <w:lang w:val="en-US"/>
        </w:rPr>
        <w:t xml:space="preserve"> </w:t>
      </w:r>
      <w:r w:rsidRPr="00AF0A55">
        <w:rPr>
          <w:b/>
          <w:bCs/>
          <w:sz w:val="28"/>
          <w:szCs w:val="28"/>
        </w:rPr>
        <w:t>Reformasi</w:t>
      </w:r>
    </w:p>
    <w:p w14:paraId="2C91179B" w14:textId="77777777" w:rsidR="00AF0A55" w:rsidRPr="00AF0A55" w:rsidRDefault="00AF0A55" w:rsidP="00AF0A55">
      <w:pPr>
        <w:pStyle w:val="NormalWeb"/>
        <w:spacing w:before="0" w:beforeAutospacing="0" w:after="0" w:afterAutospacing="0"/>
        <w:jc w:val="center"/>
        <w:rPr>
          <w:b/>
          <w:bCs/>
          <w:lang w:val="en-US"/>
        </w:rPr>
      </w:pPr>
    </w:p>
    <w:p w14:paraId="64F92F84" w14:textId="7D2C7A7B" w:rsidR="0021239D" w:rsidRPr="00AF0A55" w:rsidRDefault="006D7456" w:rsidP="00AF0A55">
      <w:pPr>
        <w:spacing w:after="0" w:line="240" w:lineRule="auto"/>
        <w:jc w:val="center"/>
        <w:rPr>
          <w:rFonts w:ascii="Times New Roman" w:hAnsi="Times New Roman" w:cs="Times New Roman"/>
          <w:b/>
          <w:bCs/>
          <w:sz w:val="24"/>
          <w:szCs w:val="24"/>
          <w:lang w:val="en-US"/>
        </w:rPr>
      </w:pPr>
      <w:r w:rsidRPr="00AF0A55">
        <w:rPr>
          <w:rFonts w:ascii="Times New Roman" w:hAnsi="Times New Roman" w:cs="Times New Roman"/>
          <w:b/>
          <w:bCs/>
          <w:sz w:val="24"/>
          <w:szCs w:val="24"/>
          <w:lang w:val="en-US"/>
        </w:rPr>
        <w:t>Abednego Satrio Nugroho Purba</w:t>
      </w:r>
      <w:r w:rsidRPr="00AF0A55">
        <w:rPr>
          <w:rFonts w:ascii="Times New Roman" w:hAnsi="Times New Roman" w:cs="Times New Roman"/>
          <w:b/>
          <w:bCs/>
          <w:sz w:val="24"/>
          <w:szCs w:val="24"/>
          <w:vertAlign w:val="superscript"/>
          <w:lang w:val="en-US"/>
        </w:rPr>
        <w:t>1</w:t>
      </w:r>
      <w:r w:rsidR="00AF0A55">
        <w:rPr>
          <w:rFonts w:ascii="Times New Roman" w:hAnsi="Times New Roman" w:cs="Times New Roman"/>
          <w:b/>
          <w:bCs/>
          <w:sz w:val="24"/>
          <w:szCs w:val="24"/>
          <w:vertAlign w:val="superscript"/>
          <w:lang w:val="en-US"/>
        </w:rPr>
        <w:t>*</w:t>
      </w:r>
      <w:r w:rsidRPr="00AF0A55">
        <w:rPr>
          <w:rFonts w:ascii="Times New Roman" w:hAnsi="Times New Roman" w:cs="Times New Roman"/>
          <w:b/>
          <w:bCs/>
          <w:sz w:val="24"/>
          <w:szCs w:val="24"/>
          <w:lang w:val="en-US"/>
        </w:rPr>
        <w:t>, Cecep Suhardiman</w:t>
      </w:r>
      <w:r w:rsidRPr="00AF0A55">
        <w:rPr>
          <w:rFonts w:ascii="Times New Roman" w:hAnsi="Times New Roman" w:cs="Times New Roman"/>
          <w:b/>
          <w:bCs/>
          <w:sz w:val="24"/>
          <w:szCs w:val="24"/>
          <w:vertAlign w:val="superscript"/>
          <w:lang w:val="en-US"/>
        </w:rPr>
        <w:t>2</w:t>
      </w:r>
    </w:p>
    <w:p w14:paraId="46A0C62D" w14:textId="3A98AF30" w:rsidR="0021239D" w:rsidRPr="00AF0A55" w:rsidRDefault="00AF0A55" w:rsidP="00AF0A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vertAlign w:val="superscript"/>
          <w:lang w:val="en-US"/>
        </w:rPr>
        <w:t>1-2</w:t>
      </w:r>
      <w:r w:rsidR="006D7456" w:rsidRPr="00AF0A55">
        <w:rPr>
          <w:rFonts w:ascii="Times New Roman" w:hAnsi="Times New Roman" w:cs="Times New Roman"/>
          <w:sz w:val="20"/>
          <w:szCs w:val="20"/>
        </w:rPr>
        <w:t>Magister Ilmu Hukum Universitas 17 Agustus 1945 Jakarta</w:t>
      </w:r>
      <w:r w:rsidR="006D7456" w:rsidRPr="00AF0A55">
        <w:rPr>
          <w:rFonts w:ascii="Times New Roman" w:hAnsi="Times New Roman" w:cs="Times New Roman"/>
          <w:sz w:val="20"/>
          <w:szCs w:val="20"/>
          <w:lang w:val="en-US"/>
        </w:rPr>
        <w:t>, Indonesia</w:t>
      </w:r>
    </w:p>
    <w:p w14:paraId="20DF910E" w14:textId="0CDA991A" w:rsidR="0021239D" w:rsidRPr="00AF0A55" w:rsidRDefault="00AF0A55" w:rsidP="00AF0A55">
      <w:pPr>
        <w:spacing w:after="0" w:line="240" w:lineRule="auto"/>
        <w:jc w:val="center"/>
        <w:rPr>
          <w:rFonts w:ascii="Times New Roman" w:hAnsi="Times New Roman" w:cs="Times New Roman"/>
          <w:i/>
          <w:iCs/>
          <w:sz w:val="20"/>
          <w:szCs w:val="20"/>
          <w:vertAlign w:val="superscript"/>
          <w:lang w:val="en-US"/>
        </w:rPr>
      </w:pPr>
      <w:r w:rsidRPr="00AF0A55">
        <w:rPr>
          <w:rFonts w:ascii="Times New Roman" w:hAnsi="Times New Roman" w:cs="Times New Roman"/>
          <w:i/>
          <w:iCs/>
          <w:sz w:val="20"/>
          <w:szCs w:val="20"/>
          <w:lang w:val="en-US"/>
        </w:rPr>
        <w:t>E</w:t>
      </w:r>
      <w:r w:rsidR="006D7456" w:rsidRPr="00AF0A55">
        <w:rPr>
          <w:rFonts w:ascii="Times New Roman" w:hAnsi="Times New Roman" w:cs="Times New Roman"/>
          <w:i/>
          <w:iCs/>
          <w:sz w:val="20"/>
          <w:szCs w:val="20"/>
        </w:rPr>
        <w:t xml:space="preserve">mail: </w:t>
      </w:r>
      <w:r w:rsidR="006D7456" w:rsidRPr="00AF0A55">
        <w:rPr>
          <w:rFonts w:ascii="Times New Roman" w:hAnsi="Times New Roman" w:cs="Times New Roman"/>
          <w:i/>
          <w:iCs/>
          <w:sz w:val="20"/>
          <w:szCs w:val="20"/>
        </w:rPr>
        <w:fldChar w:fldCharType="begin"/>
      </w:r>
      <w:r w:rsidR="006D7456" w:rsidRPr="00AF0A55">
        <w:rPr>
          <w:rFonts w:ascii="Times New Roman" w:hAnsi="Times New Roman" w:cs="Times New Roman"/>
          <w:i/>
          <w:iCs/>
          <w:sz w:val="20"/>
          <w:szCs w:val="20"/>
        </w:rPr>
        <w:instrText>HYPERLINK "mailto:eboskyblack057@gmail.com"</w:instrText>
      </w:r>
      <w:r w:rsidR="006D7456" w:rsidRPr="00AF0A55">
        <w:rPr>
          <w:rFonts w:ascii="Times New Roman" w:hAnsi="Times New Roman" w:cs="Times New Roman"/>
          <w:i/>
          <w:iCs/>
          <w:sz w:val="20"/>
          <w:szCs w:val="20"/>
        </w:rPr>
      </w:r>
      <w:r w:rsidR="006D7456" w:rsidRPr="00AF0A55">
        <w:rPr>
          <w:rFonts w:ascii="Times New Roman" w:hAnsi="Times New Roman" w:cs="Times New Roman"/>
          <w:i/>
          <w:iCs/>
          <w:sz w:val="20"/>
          <w:szCs w:val="20"/>
        </w:rPr>
        <w:fldChar w:fldCharType="separate"/>
      </w:r>
      <w:r w:rsidR="006D7456" w:rsidRPr="00AF0A55">
        <w:rPr>
          <w:rStyle w:val="Hyperlink"/>
          <w:rFonts w:ascii="Times New Roman" w:hAnsi="Times New Roman" w:cs="Times New Roman"/>
          <w:i/>
          <w:iCs/>
          <w:sz w:val="20"/>
          <w:szCs w:val="20"/>
          <w:lang w:val="en-US"/>
        </w:rPr>
        <w:t>eboskyblack057</w:t>
      </w:r>
      <w:r w:rsidR="006D7456" w:rsidRPr="00AF0A55">
        <w:rPr>
          <w:rStyle w:val="Hyperlink"/>
          <w:rFonts w:ascii="Times New Roman" w:hAnsi="Times New Roman" w:cs="Times New Roman"/>
          <w:i/>
          <w:iCs/>
          <w:sz w:val="20"/>
          <w:szCs w:val="20"/>
        </w:rPr>
        <w:t>@gmail.com</w:t>
      </w:r>
      <w:r w:rsidR="006D7456" w:rsidRPr="00AF0A55">
        <w:rPr>
          <w:rFonts w:ascii="Times New Roman" w:hAnsi="Times New Roman" w:cs="Times New Roman"/>
          <w:i/>
          <w:iCs/>
          <w:sz w:val="20"/>
          <w:szCs w:val="20"/>
        </w:rPr>
        <w:fldChar w:fldCharType="end"/>
      </w:r>
      <w:r w:rsidRPr="00AF0A55">
        <w:rPr>
          <w:rFonts w:ascii="Times New Roman" w:hAnsi="Times New Roman" w:cs="Times New Roman"/>
          <w:i/>
          <w:iCs/>
          <w:sz w:val="20"/>
          <w:szCs w:val="20"/>
          <w:vertAlign w:val="superscript"/>
          <w:lang w:val="en-US"/>
        </w:rPr>
        <w:t>1*</w:t>
      </w:r>
      <w:r w:rsidR="006D7456" w:rsidRPr="00AF0A55">
        <w:rPr>
          <w:rFonts w:ascii="Times New Roman" w:hAnsi="Times New Roman" w:cs="Times New Roman"/>
          <w:i/>
          <w:iCs/>
          <w:sz w:val="20"/>
          <w:szCs w:val="20"/>
          <w:lang w:val="en-US"/>
        </w:rPr>
        <w:t xml:space="preserve">, </w:t>
      </w:r>
      <w:hyperlink r:id="rId8" w:history="1">
        <w:r w:rsidR="006D7456" w:rsidRPr="00AF0A55">
          <w:rPr>
            <w:rStyle w:val="Hyperlink"/>
            <w:rFonts w:ascii="Times New Roman" w:hAnsi="Times New Roman" w:cs="Times New Roman"/>
            <w:i/>
            <w:iCs/>
            <w:sz w:val="20"/>
            <w:szCs w:val="20"/>
            <w:lang w:val="en-US"/>
          </w:rPr>
          <w:t>cecepsuhardiman68@gmail.com</w:t>
        </w:r>
      </w:hyperlink>
      <w:r w:rsidRPr="00AF0A55">
        <w:rPr>
          <w:rFonts w:ascii="Times New Roman" w:hAnsi="Times New Roman" w:cs="Times New Roman"/>
          <w:i/>
          <w:iCs/>
          <w:sz w:val="20"/>
          <w:szCs w:val="20"/>
          <w:vertAlign w:val="superscript"/>
          <w:lang w:val="en-US"/>
        </w:rPr>
        <w:t>2</w:t>
      </w:r>
    </w:p>
    <w:p w14:paraId="3BCC7E5C" w14:textId="308C2625" w:rsidR="0021239D" w:rsidRPr="00AF0A55" w:rsidRDefault="00AF0A55" w:rsidP="00AF0A55">
      <w:pPr>
        <w:spacing w:after="0" w:line="240" w:lineRule="auto"/>
        <w:jc w:val="center"/>
        <w:rPr>
          <w:rFonts w:ascii="Times New Roman" w:hAnsi="Times New Roman" w:cs="Times New Roman"/>
          <w:i/>
          <w:iCs/>
          <w:sz w:val="20"/>
          <w:szCs w:val="20"/>
          <w:vertAlign w:val="superscript"/>
          <w:lang w:val="en-US"/>
        </w:rPr>
      </w:pPr>
      <w:r w:rsidRPr="00AF0A55">
        <w:rPr>
          <w:rFonts w:ascii="Times New Roman" w:hAnsi="Times New Roman" w:cs="Times New Roman"/>
          <w:i/>
          <w:iCs/>
          <w:sz w:val="20"/>
          <w:szCs w:val="20"/>
          <w:vertAlign w:val="superscript"/>
          <w:lang w:val="en-US"/>
        </w:rPr>
        <w:t>*</w:t>
      </w:r>
      <w:proofErr w:type="spellStart"/>
      <w:r w:rsidRPr="00AF0A55">
        <w:rPr>
          <w:rFonts w:ascii="Times New Roman" w:hAnsi="Times New Roman" w:cs="Times New Roman"/>
          <w:i/>
          <w:iCs/>
          <w:sz w:val="20"/>
          <w:szCs w:val="20"/>
          <w:lang w:val="en-US"/>
        </w:rPr>
        <w:t>Penulis</w:t>
      </w:r>
      <w:proofErr w:type="spellEnd"/>
      <w:r w:rsidRPr="00AF0A55">
        <w:rPr>
          <w:rFonts w:ascii="Times New Roman" w:hAnsi="Times New Roman" w:cs="Times New Roman"/>
          <w:i/>
          <w:iCs/>
          <w:sz w:val="20"/>
          <w:szCs w:val="20"/>
          <w:lang w:val="en-US"/>
        </w:rPr>
        <w:t xml:space="preserve"> </w:t>
      </w:r>
      <w:proofErr w:type="spellStart"/>
      <w:r w:rsidRPr="00AF0A55">
        <w:rPr>
          <w:rFonts w:ascii="Times New Roman" w:hAnsi="Times New Roman" w:cs="Times New Roman"/>
          <w:i/>
          <w:iCs/>
          <w:sz w:val="20"/>
          <w:szCs w:val="20"/>
          <w:lang w:val="en-US"/>
        </w:rPr>
        <w:t>korespondensi</w:t>
      </w:r>
      <w:proofErr w:type="spellEnd"/>
      <w:r w:rsidRPr="00AF0A55">
        <w:rPr>
          <w:rFonts w:ascii="Times New Roman" w:hAnsi="Times New Roman" w:cs="Times New Roman"/>
          <w:i/>
          <w:iCs/>
          <w:sz w:val="20"/>
          <w:szCs w:val="20"/>
          <w:lang w:val="en-US"/>
        </w:rPr>
        <w:t xml:space="preserve">: </w:t>
      </w:r>
      <w:hyperlink r:id="rId9" w:history="1">
        <w:r w:rsidRPr="00AF0A55">
          <w:rPr>
            <w:rStyle w:val="Hyperlink"/>
            <w:rFonts w:ascii="Times New Roman" w:hAnsi="Times New Roman" w:cs="Times New Roman"/>
            <w:i/>
            <w:iCs/>
            <w:sz w:val="20"/>
            <w:szCs w:val="20"/>
            <w:lang w:val="en-US"/>
          </w:rPr>
          <w:t>eboskyblack057@gmail.com</w:t>
        </w:r>
      </w:hyperlink>
      <w:r w:rsidRPr="00AF0A55">
        <w:rPr>
          <w:rFonts w:ascii="Times New Roman" w:hAnsi="Times New Roman" w:cs="Times New Roman"/>
          <w:i/>
          <w:iCs/>
          <w:sz w:val="20"/>
          <w:szCs w:val="20"/>
          <w:vertAlign w:val="superscript"/>
          <w:lang w:val="en-US"/>
        </w:rPr>
        <w:t>1</w:t>
      </w:r>
    </w:p>
    <w:p w14:paraId="2F1852B5" w14:textId="77777777" w:rsidR="0021239D" w:rsidRPr="00AF0A55" w:rsidRDefault="0021239D" w:rsidP="00AF0A55">
      <w:pPr>
        <w:spacing w:after="0" w:line="240" w:lineRule="auto"/>
        <w:jc w:val="both"/>
        <w:rPr>
          <w:rFonts w:ascii="Times New Roman" w:hAnsi="Times New Roman" w:cs="Times New Roman"/>
          <w:b/>
          <w:bCs/>
          <w:sz w:val="20"/>
          <w:szCs w:val="20"/>
          <w:lang w:val="en-US"/>
        </w:rPr>
      </w:pPr>
    </w:p>
    <w:p w14:paraId="5329C7F0" w14:textId="1807C19E" w:rsidR="0021239D" w:rsidRPr="00AF0A55" w:rsidRDefault="00AF0A55" w:rsidP="00AF0A55">
      <w:pPr>
        <w:spacing w:after="0" w:line="240" w:lineRule="auto"/>
        <w:jc w:val="both"/>
        <w:rPr>
          <w:rFonts w:ascii="Times New Roman" w:hAnsi="Times New Roman" w:cs="Times New Roman"/>
          <w:i/>
          <w:iCs/>
          <w:sz w:val="20"/>
          <w:szCs w:val="20"/>
          <w:lang w:val="en-US"/>
        </w:rPr>
      </w:pPr>
      <w:r w:rsidRPr="00AF0A55">
        <w:rPr>
          <w:rFonts w:ascii="Times New Roman" w:hAnsi="Times New Roman" w:cs="Times New Roman"/>
          <w:b/>
          <w:bCs/>
          <w:i/>
          <w:iCs/>
          <w:sz w:val="20"/>
          <w:szCs w:val="20"/>
        </w:rPr>
        <w:t>Abstract</w:t>
      </w:r>
      <w:r w:rsidRPr="00AF0A55">
        <w:rPr>
          <w:rFonts w:ascii="Times New Roman" w:hAnsi="Times New Roman" w:cs="Times New Roman"/>
          <w:b/>
          <w:bCs/>
          <w:i/>
          <w:iCs/>
          <w:sz w:val="20"/>
          <w:szCs w:val="20"/>
          <w:lang w:val="en-US"/>
        </w:rPr>
        <w:t>.</w:t>
      </w:r>
      <w:r w:rsidR="006D7456" w:rsidRPr="00AF0A55">
        <w:rPr>
          <w:rFonts w:ascii="Times New Roman" w:hAnsi="Times New Roman" w:cs="Times New Roman"/>
          <w:b/>
          <w:bCs/>
          <w:i/>
          <w:iCs/>
          <w:sz w:val="20"/>
          <w:szCs w:val="20"/>
          <w:lang w:val="en-US"/>
        </w:rPr>
        <w:t xml:space="preserve"> </w:t>
      </w:r>
      <w:r w:rsidR="006D7456" w:rsidRPr="00AF0A55">
        <w:rPr>
          <w:rFonts w:ascii="Times New Roman" w:hAnsi="Times New Roman" w:cs="Times New Roman"/>
          <w:i/>
          <w:iCs/>
          <w:sz w:val="20"/>
          <w:szCs w:val="20"/>
        </w:rPr>
        <w:t>Corporate Social Responsibility (CSR) in Indonesia has undergone a paradigmatic shift from voluntary philanthropic activities to a legally binding obligation grounded in various statutory regulations, particularly Law Number 40 of 2007 on Limited Liability Companies and Law Number 25 of 2007 on Investment. This study aims to analyze the legal framework governing CSR in Indonesia from a public policy perspective, to evaluate the implementation of CSR by corporations, and to identify normative and empirical constraints that hinder the optimization of CSR as an instrument of sustainable development. The research employs a normative juridical method with statutory, conceptual, case-based, and policy analysis approaches. The findings indicate that CSR regulation remains partial in nature, primarily due to the limitation of mandatory obligations to specific sectors, the absence of clear and enforceable sanctions, and the lack of national standards for reporting and oversight.</w:t>
      </w:r>
    </w:p>
    <w:p w14:paraId="77CC7FF1" w14:textId="77777777" w:rsidR="00AF0A55" w:rsidRPr="00AF0A55" w:rsidRDefault="00AF0A55" w:rsidP="00AF0A55">
      <w:pPr>
        <w:spacing w:after="0" w:line="240" w:lineRule="auto"/>
        <w:jc w:val="both"/>
        <w:rPr>
          <w:rFonts w:ascii="Times New Roman" w:hAnsi="Times New Roman" w:cs="Times New Roman"/>
          <w:i/>
          <w:iCs/>
          <w:sz w:val="20"/>
          <w:szCs w:val="20"/>
          <w:lang w:val="en-US"/>
        </w:rPr>
      </w:pPr>
    </w:p>
    <w:p w14:paraId="5B651F03" w14:textId="3F4587FE" w:rsidR="00AF0A55" w:rsidRPr="00AF0A55" w:rsidRDefault="006D7456" w:rsidP="00AF0A55">
      <w:pPr>
        <w:pStyle w:val="NormalWeb"/>
        <w:spacing w:before="0" w:beforeAutospacing="0" w:after="0" w:afterAutospacing="0"/>
        <w:jc w:val="both"/>
        <w:rPr>
          <w:i/>
          <w:iCs/>
          <w:sz w:val="20"/>
          <w:szCs w:val="20"/>
          <w:lang w:val="en-US"/>
        </w:rPr>
      </w:pPr>
      <w:r w:rsidRPr="00AF0A55">
        <w:rPr>
          <w:b/>
          <w:bCs/>
          <w:i/>
          <w:iCs/>
          <w:sz w:val="20"/>
          <w:szCs w:val="20"/>
        </w:rPr>
        <w:t>Keywords:</w:t>
      </w:r>
      <w:r w:rsidR="00AF0A55" w:rsidRPr="00AF0A55">
        <w:rPr>
          <w:b/>
          <w:bCs/>
          <w:i/>
          <w:iCs/>
          <w:sz w:val="20"/>
          <w:szCs w:val="20"/>
          <w:lang w:val="en-US"/>
        </w:rPr>
        <w:t xml:space="preserve"> </w:t>
      </w:r>
      <w:r w:rsidR="00AF0A55" w:rsidRPr="00AF0A55">
        <w:rPr>
          <w:i/>
          <w:iCs/>
          <w:sz w:val="20"/>
          <w:szCs w:val="20"/>
        </w:rPr>
        <w:t>Corporate Responsibility</w:t>
      </w:r>
      <w:r w:rsidR="00AF0A55" w:rsidRPr="00AF0A55">
        <w:rPr>
          <w:i/>
          <w:iCs/>
          <w:sz w:val="20"/>
          <w:szCs w:val="20"/>
          <w:lang w:val="en-US"/>
        </w:rPr>
        <w:t xml:space="preserve">; </w:t>
      </w:r>
      <w:r w:rsidR="00AF0A55" w:rsidRPr="00AF0A55">
        <w:rPr>
          <w:i/>
          <w:iCs/>
          <w:sz w:val="20"/>
          <w:szCs w:val="20"/>
        </w:rPr>
        <w:t>CSR Regulation</w:t>
      </w:r>
      <w:r w:rsidR="00AF0A55" w:rsidRPr="00AF0A55">
        <w:rPr>
          <w:i/>
          <w:iCs/>
          <w:sz w:val="20"/>
          <w:szCs w:val="20"/>
          <w:lang w:val="en-US"/>
        </w:rPr>
        <w:t xml:space="preserve">; </w:t>
      </w:r>
      <w:r w:rsidR="00AF0A55" w:rsidRPr="00AF0A55">
        <w:rPr>
          <w:i/>
          <w:iCs/>
          <w:sz w:val="20"/>
          <w:szCs w:val="20"/>
        </w:rPr>
        <w:t>Legal Certainty</w:t>
      </w:r>
      <w:r w:rsidR="00AF0A55" w:rsidRPr="00AF0A55">
        <w:rPr>
          <w:i/>
          <w:iCs/>
          <w:sz w:val="20"/>
          <w:szCs w:val="20"/>
          <w:lang w:val="en-US"/>
        </w:rPr>
        <w:t xml:space="preserve">; </w:t>
      </w:r>
      <w:r w:rsidR="00AF0A55" w:rsidRPr="00AF0A55">
        <w:rPr>
          <w:i/>
          <w:iCs/>
          <w:sz w:val="20"/>
          <w:szCs w:val="20"/>
        </w:rPr>
        <w:t>Public Policy</w:t>
      </w:r>
      <w:r w:rsidR="00AF0A55" w:rsidRPr="00AF0A55">
        <w:rPr>
          <w:i/>
          <w:iCs/>
          <w:sz w:val="20"/>
          <w:szCs w:val="20"/>
          <w:lang w:val="en-US"/>
        </w:rPr>
        <w:t xml:space="preserve">; </w:t>
      </w:r>
      <w:r w:rsidR="00AF0A55" w:rsidRPr="00AF0A55">
        <w:rPr>
          <w:i/>
          <w:iCs/>
          <w:sz w:val="20"/>
          <w:szCs w:val="20"/>
        </w:rPr>
        <w:t>Sustainable Development</w:t>
      </w:r>
    </w:p>
    <w:p w14:paraId="75F09842" w14:textId="77777777" w:rsidR="00AF0A55" w:rsidRPr="00AF0A55" w:rsidRDefault="00AF0A55" w:rsidP="00AF0A55">
      <w:pPr>
        <w:pStyle w:val="NormalWeb"/>
        <w:spacing w:before="0" w:beforeAutospacing="0" w:after="0" w:afterAutospacing="0"/>
        <w:jc w:val="both"/>
        <w:rPr>
          <w:i/>
          <w:iCs/>
          <w:sz w:val="20"/>
          <w:szCs w:val="20"/>
          <w:lang w:val="en-US"/>
        </w:rPr>
      </w:pPr>
    </w:p>
    <w:p w14:paraId="596254E0" w14:textId="667EC7F1" w:rsidR="0021239D" w:rsidRPr="00AF0A55" w:rsidRDefault="00AF0A55" w:rsidP="00AF0A55">
      <w:pPr>
        <w:spacing w:after="0" w:line="240" w:lineRule="auto"/>
        <w:jc w:val="both"/>
        <w:rPr>
          <w:rFonts w:ascii="Times New Roman" w:hAnsi="Times New Roman" w:cs="Times New Roman"/>
          <w:sz w:val="20"/>
          <w:szCs w:val="20"/>
        </w:rPr>
      </w:pPr>
      <w:r w:rsidRPr="00AF0A55">
        <w:rPr>
          <w:rFonts w:ascii="Times New Roman" w:hAnsi="Times New Roman" w:cs="Times New Roman"/>
          <w:b/>
          <w:bCs/>
          <w:sz w:val="20"/>
          <w:szCs w:val="20"/>
        </w:rPr>
        <w:t>Abstrak</w:t>
      </w:r>
      <w:r w:rsidRPr="00AF0A55">
        <w:rPr>
          <w:rFonts w:ascii="Times New Roman" w:hAnsi="Times New Roman" w:cs="Times New Roman"/>
          <w:b/>
          <w:bCs/>
          <w:sz w:val="20"/>
          <w:szCs w:val="20"/>
          <w:lang w:val="en-US"/>
        </w:rPr>
        <w:t>.</w:t>
      </w:r>
      <w:r w:rsidR="006D7456" w:rsidRPr="00AF0A55">
        <w:rPr>
          <w:rFonts w:ascii="Times New Roman" w:hAnsi="Times New Roman" w:cs="Times New Roman"/>
          <w:b/>
          <w:bCs/>
          <w:sz w:val="20"/>
          <w:szCs w:val="20"/>
          <w:lang w:val="en-US"/>
        </w:rPr>
        <w:t xml:space="preserve"> </w:t>
      </w:r>
      <w:r w:rsidR="006D7456" w:rsidRPr="00AF0A55">
        <w:rPr>
          <w:rFonts w:ascii="Times New Roman" w:hAnsi="Times New Roman" w:cs="Times New Roman"/>
          <w:sz w:val="20"/>
          <w:szCs w:val="20"/>
        </w:rPr>
        <w:t>Corporate Social Responsibility (CSR) di Indonesia telah mengalami pergeseran paradigma dari aktivitas filantropi sukarela menjadi kewajiban hukum yang memiliki dasar yuridis dalam berbagai peraturan perundang-undangan, khususnya Undang-Undang Nomor 40 Tahun 2007 tentang Perseroan Terbatas dan Undang-Undang Nomor 25 Tahun 2007 tentang Penanaman Modal. Penelitian ini bertujuan untuk menganalisis kerangka hukum CSR di Indonesia dalam perspektif kebijakan publik, mengevaluasi implementasi CSR oleh perusahaan, serta mengidentifikasi kendala normatif dan empiris yang menghambat optimalisasi CSR sebagai instrumen pembangunan berkelanjutan. Metode penelitian yang digunakan adalah yuridis normatif dengan pendekatan perundang-undangan, konseptual, kasus, dan analisis kebijakan. Hasil penelitian menunjukkan bahwa pengaturan CSR masih bersifat parsial, terutama karena pembatasan kewajiban pada sektor tertentu, ketiadaan sanksi yang tegas, serta tidak adanya standar nasional pelaporan dan pengawasan.</w:t>
      </w:r>
    </w:p>
    <w:p w14:paraId="47548249" w14:textId="77777777" w:rsidR="00AF0A55" w:rsidRPr="00AF0A55" w:rsidRDefault="00AF0A55" w:rsidP="00AF0A55">
      <w:pPr>
        <w:spacing w:after="0" w:line="240" w:lineRule="auto"/>
        <w:jc w:val="both"/>
        <w:rPr>
          <w:rFonts w:ascii="Times New Roman" w:hAnsi="Times New Roman" w:cs="Times New Roman"/>
          <w:b/>
          <w:bCs/>
          <w:sz w:val="20"/>
          <w:szCs w:val="20"/>
          <w:lang w:val="en-US"/>
        </w:rPr>
      </w:pPr>
    </w:p>
    <w:p w14:paraId="397C80E4" w14:textId="5E1B7A06" w:rsidR="00AF0A55" w:rsidRPr="00AF0A55" w:rsidRDefault="006D7456" w:rsidP="00AF0A55">
      <w:pPr>
        <w:spacing w:after="0" w:line="240" w:lineRule="auto"/>
        <w:jc w:val="both"/>
        <w:rPr>
          <w:rFonts w:ascii="Times New Roman" w:hAnsi="Times New Roman" w:cs="Times New Roman"/>
          <w:sz w:val="20"/>
          <w:szCs w:val="20"/>
          <w:lang w:val="en-US"/>
        </w:rPr>
      </w:pPr>
      <w:r w:rsidRPr="00AF0A55">
        <w:rPr>
          <w:rFonts w:ascii="Times New Roman" w:hAnsi="Times New Roman" w:cs="Times New Roman"/>
          <w:b/>
          <w:bCs/>
          <w:sz w:val="20"/>
          <w:szCs w:val="20"/>
        </w:rPr>
        <w:t>Kata Kunci:</w:t>
      </w:r>
      <w:r w:rsidRPr="00AF0A55">
        <w:rPr>
          <w:rFonts w:ascii="Times New Roman" w:hAnsi="Times New Roman" w:cs="Times New Roman"/>
          <w:sz w:val="20"/>
          <w:szCs w:val="20"/>
        </w:rPr>
        <w:t xml:space="preserve"> </w:t>
      </w:r>
      <w:r w:rsidR="00AF0A55" w:rsidRPr="00AF0A55">
        <w:rPr>
          <w:rFonts w:ascii="Times New Roman" w:hAnsi="Times New Roman" w:cs="Times New Roman"/>
          <w:sz w:val="20"/>
          <w:szCs w:val="20"/>
          <w:lang w:val="fi-FI"/>
        </w:rPr>
        <w:t>Corporate Responsibility</w:t>
      </w:r>
      <w:r w:rsidR="00AF0A55" w:rsidRPr="00AF0A55">
        <w:rPr>
          <w:rFonts w:ascii="Times New Roman" w:hAnsi="Times New Roman" w:cs="Times New Roman"/>
          <w:sz w:val="20"/>
          <w:szCs w:val="20"/>
          <w:lang w:val="fi-FI"/>
        </w:rPr>
        <w:t xml:space="preserve">; </w:t>
      </w:r>
      <w:r w:rsidR="00AF0A55" w:rsidRPr="00AF0A55">
        <w:rPr>
          <w:rFonts w:ascii="Times New Roman" w:hAnsi="Times New Roman" w:cs="Times New Roman"/>
          <w:sz w:val="20"/>
          <w:szCs w:val="20"/>
          <w:lang w:val="fi-FI"/>
        </w:rPr>
        <w:t>Kebijakan Publik</w:t>
      </w:r>
      <w:r w:rsidR="00AF0A55" w:rsidRPr="00AF0A55">
        <w:rPr>
          <w:rFonts w:ascii="Times New Roman" w:hAnsi="Times New Roman" w:cs="Times New Roman"/>
          <w:sz w:val="20"/>
          <w:szCs w:val="20"/>
          <w:lang w:val="fi-FI"/>
        </w:rPr>
        <w:t xml:space="preserve">; </w:t>
      </w:r>
      <w:r w:rsidR="00AF0A55" w:rsidRPr="00AF0A55">
        <w:rPr>
          <w:rFonts w:ascii="Times New Roman" w:hAnsi="Times New Roman" w:cs="Times New Roman"/>
          <w:sz w:val="20"/>
          <w:szCs w:val="20"/>
          <w:lang w:val="fi-FI"/>
        </w:rPr>
        <w:t>Kepastian Hukum</w:t>
      </w:r>
      <w:r w:rsidR="00AF0A55" w:rsidRPr="00AF0A55">
        <w:rPr>
          <w:rFonts w:ascii="Times New Roman" w:hAnsi="Times New Roman" w:cs="Times New Roman"/>
          <w:sz w:val="20"/>
          <w:szCs w:val="20"/>
          <w:lang w:val="fi-FI"/>
        </w:rPr>
        <w:t xml:space="preserve">; </w:t>
      </w:r>
      <w:r w:rsidR="00AF0A55" w:rsidRPr="00AF0A55">
        <w:rPr>
          <w:rFonts w:ascii="Times New Roman" w:hAnsi="Times New Roman" w:cs="Times New Roman"/>
          <w:sz w:val="20"/>
          <w:szCs w:val="20"/>
          <w:lang w:val="fi-FI"/>
        </w:rPr>
        <w:t>Pembangunan Berkelanjutan</w:t>
      </w:r>
      <w:r w:rsidR="00AF0A55" w:rsidRPr="00AF0A55">
        <w:rPr>
          <w:rFonts w:ascii="Times New Roman" w:hAnsi="Times New Roman" w:cs="Times New Roman"/>
          <w:sz w:val="20"/>
          <w:szCs w:val="20"/>
          <w:lang w:val="fi-FI"/>
        </w:rPr>
        <w:t xml:space="preserve">; </w:t>
      </w:r>
      <w:r w:rsidR="00AF0A55" w:rsidRPr="00AF0A55">
        <w:rPr>
          <w:rFonts w:ascii="Times New Roman" w:hAnsi="Times New Roman" w:cs="Times New Roman"/>
          <w:sz w:val="20"/>
          <w:szCs w:val="20"/>
          <w:lang w:val="fi-FI"/>
        </w:rPr>
        <w:t>Regulasi CSR</w:t>
      </w:r>
    </w:p>
    <w:p w14:paraId="528FF131" w14:textId="77777777" w:rsidR="00D6259F" w:rsidRPr="00AF0A55" w:rsidRDefault="00D6259F" w:rsidP="00AF0A55">
      <w:pPr>
        <w:spacing w:after="0" w:line="360" w:lineRule="auto"/>
        <w:jc w:val="both"/>
        <w:rPr>
          <w:rFonts w:ascii="Times New Roman" w:hAnsi="Times New Roman" w:cs="Times New Roman"/>
          <w:i/>
          <w:iCs/>
          <w:sz w:val="24"/>
          <w:szCs w:val="24"/>
          <w:lang w:val="fi-FI"/>
        </w:rPr>
      </w:pPr>
    </w:p>
    <w:p w14:paraId="7724D14B" w14:textId="77777777" w:rsidR="0021239D" w:rsidRPr="00AF0A55" w:rsidRDefault="006D7456" w:rsidP="00AF0A55">
      <w:pPr>
        <w:numPr>
          <w:ilvl w:val="0"/>
          <w:numId w:val="1"/>
        </w:numPr>
        <w:spacing w:after="0" w:line="360" w:lineRule="auto"/>
        <w:jc w:val="both"/>
        <w:rPr>
          <w:rFonts w:ascii="Times New Roman" w:hAnsi="Times New Roman" w:cs="Times New Roman"/>
          <w:i/>
          <w:iCs/>
          <w:sz w:val="24"/>
          <w:szCs w:val="24"/>
        </w:rPr>
      </w:pPr>
      <w:r w:rsidRPr="00AF0A55">
        <w:rPr>
          <w:rFonts w:ascii="Times New Roman" w:hAnsi="Times New Roman" w:cs="Times New Roman"/>
          <w:b/>
          <w:bCs/>
          <w:sz w:val="24"/>
          <w:szCs w:val="24"/>
          <w:lang w:val="en-US"/>
        </w:rPr>
        <w:t>LATAR BELAKANG</w:t>
      </w:r>
    </w:p>
    <w:p w14:paraId="5A7E2B0C"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telah menjadi salah satu instrumen penting dalam penyelenggaraan pembangunan berkelanjutan dan tata kelola perusahaan modern. Di Indonesia, konsep CSR tidak lagi hanya dilihat sebagai aktivitas filantropi sukarela, tetapi telah memperoleh landasan yuridis yang mengikat melalui berbagai regulasi</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(Undang-Undang Nomor 40 Tahun 2007)</w:t>
      </w:r>
    </w:p>
    <w:p w14:paraId="35464E7E"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rPr>
        <w:t xml:space="preserve">Undang-Undang </w:t>
      </w:r>
      <w:proofErr w:type="spellStart"/>
      <w:r w:rsidRPr="00AF0A55">
        <w:rPr>
          <w:rFonts w:ascii="Times New Roman" w:hAnsi="Times New Roman" w:cs="Times New Roman"/>
          <w:sz w:val="24"/>
          <w:szCs w:val="24"/>
          <w:lang w:val="en-US"/>
        </w:rPr>
        <w:t>tentang</w:t>
      </w:r>
      <w:proofErr w:type="spellEnd"/>
      <w:r w:rsidRPr="00AF0A55">
        <w:rPr>
          <w:rFonts w:ascii="Times New Roman" w:hAnsi="Times New Roman" w:cs="Times New Roman"/>
          <w:sz w:val="24"/>
          <w:szCs w:val="24"/>
        </w:rPr>
        <w:t xml:space="preserve"> Penanaman Modal</w:t>
      </w:r>
      <w:r w:rsidRPr="00AF0A55">
        <w:rPr>
          <w:rFonts w:ascii="Times New Roman" w:hAnsi="Times New Roman" w:cs="Times New Roman"/>
          <w:sz w:val="24"/>
          <w:szCs w:val="24"/>
          <w:lang w:val="en-US"/>
        </w:rPr>
        <w:t>, (</w:t>
      </w:r>
      <w:proofErr w:type="spellStart"/>
      <w:r w:rsidRPr="00AF0A55">
        <w:rPr>
          <w:rFonts w:ascii="Times New Roman" w:hAnsi="Times New Roman" w:cs="Times New Roman"/>
          <w:sz w:val="24"/>
          <w:szCs w:val="24"/>
          <w:lang w:val="en-US"/>
        </w:rPr>
        <w:t>Undang-Undang</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Nomor</w:t>
      </w:r>
      <w:proofErr w:type="spellEnd"/>
      <w:r w:rsidRPr="00AF0A55">
        <w:rPr>
          <w:rFonts w:ascii="Times New Roman" w:hAnsi="Times New Roman" w:cs="Times New Roman"/>
          <w:sz w:val="24"/>
          <w:szCs w:val="24"/>
          <w:lang w:val="en-US"/>
        </w:rPr>
        <w:t xml:space="preserve"> 25 </w:t>
      </w:r>
      <w:proofErr w:type="spellStart"/>
      <w:r w:rsidRPr="00AF0A55">
        <w:rPr>
          <w:rFonts w:ascii="Times New Roman" w:hAnsi="Times New Roman" w:cs="Times New Roman"/>
          <w:sz w:val="24"/>
          <w:szCs w:val="24"/>
          <w:lang w:val="en-US"/>
        </w:rPr>
        <w:t>Tahun</w:t>
      </w:r>
      <w:proofErr w:type="spellEnd"/>
      <w:r w:rsidRPr="00AF0A55">
        <w:rPr>
          <w:rFonts w:ascii="Times New Roman" w:hAnsi="Times New Roman" w:cs="Times New Roman"/>
          <w:sz w:val="24"/>
          <w:szCs w:val="24"/>
          <w:lang w:val="en-US"/>
        </w:rPr>
        <w:t xml:space="preserve"> 2007)</w:t>
      </w:r>
      <w:r w:rsidRPr="00AF0A55">
        <w:rPr>
          <w:rFonts w:ascii="Times New Roman" w:hAnsi="Times New Roman" w:cs="Times New Roman"/>
          <w:sz w:val="24"/>
          <w:szCs w:val="24"/>
        </w:rPr>
        <w:t xml:space="preserve"> serta berbagai peraturan daerah yang mengatur implementasi CSR.</w:t>
      </w:r>
      <w:r w:rsidRPr="00AF0A55">
        <w:rPr>
          <w:rFonts w:ascii="Times New Roman" w:hAnsi="Times New Roman" w:cs="Times New Roman"/>
          <w:sz w:val="24"/>
          <w:szCs w:val="24"/>
          <w:lang w:val="en-US"/>
        </w:rPr>
        <w:t xml:space="preserve"> </w:t>
      </w:r>
      <w:r w:rsidRPr="00AF0A55">
        <w:rPr>
          <w:rFonts w:ascii="Times New Roman" w:hAnsi="Times New Roman" w:cs="Times New Roman"/>
          <w:i/>
          <w:iCs/>
          <w:sz w:val="24"/>
          <w:szCs w:val="24"/>
        </w:rPr>
        <w:t>Corporate Social Responsibility</w:t>
      </w:r>
      <w:r w:rsidRPr="00AF0A55">
        <w:rPr>
          <w:rFonts w:ascii="Times New Roman" w:hAnsi="Times New Roman" w:cs="Times New Roman"/>
          <w:sz w:val="24"/>
          <w:szCs w:val="24"/>
        </w:rPr>
        <w:t xml:space="preserve"> (CSR) di Indonesia mengalami perkembangan</w:t>
      </w:r>
      <w:r w:rsidRPr="00AF0A55">
        <w:rPr>
          <w:rFonts w:ascii="Times New Roman" w:hAnsi="Times New Roman" w:cs="Times New Roman"/>
          <w:sz w:val="24"/>
          <w:szCs w:val="24"/>
          <w:lang w:val="en-US"/>
        </w:rPr>
        <w:t xml:space="preserve"> s</w:t>
      </w:r>
      <w:r w:rsidRPr="00AF0A55">
        <w:rPr>
          <w:rFonts w:ascii="Times New Roman" w:hAnsi="Times New Roman" w:cs="Times New Roman"/>
          <w:sz w:val="24"/>
          <w:szCs w:val="24"/>
        </w:rPr>
        <w:t>ebagai kewajiban hukum bagi perseroan tertentu, terutama yang operasinya berkaitan dengan pengelolaan sumber daya alam. Struktur regulatif tersebut membuat CSR tidak lagi sekadar instrumen reputasi korporasi, melainkan bagian dari mekanisme akuntabilitas sosial</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 xml:space="preserve"> Namun, efektivitas kerangka hukum </w:t>
      </w:r>
      <w:r w:rsidRPr="00AF0A55">
        <w:rPr>
          <w:rFonts w:ascii="Times New Roman" w:hAnsi="Times New Roman" w:cs="Times New Roman"/>
          <w:sz w:val="24"/>
          <w:szCs w:val="24"/>
        </w:rPr>
        <w:lastRenderedPageBreak/>
        <w:t>tersebut masih dipertanyakan karena berbagai penelitian menunjukkan adanya jarak antara norma dan praktik.</w:t>
      </w:r>
      <w:r w:rsidRPr="00AF0A55">
        <w:rPr>
          <w:rFonts w:ascii="Times New Roman" w:hAnsi="Times New Roman" w:cs="Times New Roman"/>
          <w:sz w:val="24"/>
          <w:szCs w:val="24"/>
          <w:lang w:val="en-US"/>
        </w:rPr>
        <w:t xml:space="preserve"> </w:t>
      </w:r>
    </w:p>
    <w:p w14:paraId="653DF729"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Secara sederhana, CSR dapat diartikan sebagai komitmen berkelanjutan dari perusahaan untuk bertindak secara etis, legal, dan berkontribusi untuk meningkatkan kualitas hidup dari pekerja dan keluarga, komunitas lokal, hingga masyarakat secara keseluruhan</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(WBCSD, 2000)</w:t>
      </w:r>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Sehingga</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hal</w:t>
      </w:r>
      <w:proofErr w:type="spellEnd"/>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ini merumuskan arah reformasi kebijakan untuk periode mendatang.</w:t>
      </w:r>
    </w:p>
    <w:p w14:paraId="153FD35D" w14:textId="77777777" w:rsidR="0021239D"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lang w:val="en-US" w:eastAsia="zh-CN"/>
        </w:rPr>
        <w:t xml:space="preserve">Oleh </w:t>
      </w:r>
      <w:proofErr w:type="spellStart"/>
      <w:r w:rsidRPr="00AF0A55">
        <w:rPr>
          <w:rFonts w:ascii="Times New Roman" w:hAnsi="Times New Roman" w:cs="Times New Roman"/>
          <w:sz w:val="24"/>
          <w:szCs w:val="24"/>
          <w:lang w:val="en-US" w:eastAsia="zh-CN"/>
        </w:rPr>
        <w:t>karena</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itu</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penulis</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dalam</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hal</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ini</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merumuskan</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beberapa</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masalah</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utama</w:t>
      </w:r>
      <w:proofErr w:type="spellEnd"/>
      <w:r w:rsidRPr="00AF0A55">
        <w:rPr>
          <w:rFonts w:ascii="Times New Roman" w:hAnsi="Times New Roman" w:cs="Times New Roman"/>
          <w:sz w:val="24"/>
          <w:szCs w:val="24"/>
          <w:lang w:val="en-US" w:eastAsia="zh-CN"/>
        </w:rPr>
        <w:t xml:space="preserve"> </w:t>
      </w:r>
      <w:proofErr w:type="spellStart"/>
      <w:r w:rsidRPr="00AF0A55">
        <w:rPr>
          <w:rFonts w:ascii="Times New Roman" w:hAnsi="Times New Roman" w:cs="Times New Roman"/>
          <w:sz w:val="24"/>
          <w:szCs w:val="24"/>
          <w:lang w:val="en-US" w:eastAsia="zh-CN"/>
        </w:rPr>
        <w:t>yaitu</w:t>
      </w:r>
      <w:proofErr w:type="spellEnd"/>
      <w:r w:rsidRPr="00AF0A55">
        <w:rPr>
          <w:rFonts w:ascii="Times New Roman" w:hAnsi="Times New Roman" w:cs="Times New Roman"/>
          <w:sz w:val="24"/>
          <w:szCs w:val="24"/>
          <w:lang w:val="en-US" w:eastAsia="zh-CN"/>
        </w:rPr>
        <w:t xml:space="preserve">: (1) </w:t>
      </w:r>
      <w:r w:rsidRPr="00AF0A55">
        <w:rPr>
          <w:rFonts w:ascii="Times New Roman" w:hAnsi="Times New Roman" w:cs="Times New Roman"/>
          <w:sz w:val="24"/>
          <w:szCs w:val="24"/>
          <w:lang w:eastAsia="zh-CN"/>
        </w:rPr>
        <w:t xml:space="preserve">Bagaimana </w:t>
      </w:r>
      <w:r w:rsidRPr="00AF0A55">
        <w:rPr>
          <w:rFonts w:ascii="Times New Roman" w:hAnsi="Times New Roman" w:cs="Times New Roman"/>
          <w:sz w:val="24"/>
          <w:szCs w:val="24"/>
        </w:rPr>
        <w:t>kerangka</w:t>
      </w:r>
      <w:r w:rsidRPr="00AF0A55">
        <w:rPr>
          <w:rFonts w:ascii="Times New Roman" w:hAnsi="Times New Roman" w:cs="Times New Roman"/>
          <w:sz w:val="24"/>
          <w:szCs w:val="24"/>
          <w:lang w:eastAsia="zh-CN"/>
        </w:rPr>
        <w:t xml:space="preserve"> hukum yang mengatur CSR di Indonesia dan bagaimana sifat kewajiban hukum tersebut dalam perspektif kebijakan publik?</w:t>
      </w:r>
      <w:r w:rsidRPr="00AF0A55">
        <w:rPr>
          <w:rFonts w:ascii="Times New Roman" w:hAnsi="Times New Roman" w:cs="Times New Roman"/>
          <w:sz w:val="24"/>
          <w:szCs w:val="24"/>
          <w:lang w:val="en-US" w:eastAsia="zh-CN"/>
        </w:rPr>
        <w:t xml:space="preserve"> </w:t>
      </w:r>
      <w:r w:rsidRPr="00AF0A55">
        <w:rPr>
          <w:rFonts w:ascii="Times New Roman" w:hAnsi="Times New Roman" w:cs="Times New Roman"/>
          <w:sz w:val="24"/>
          <w:szCs w:val="24"/>
          <w:lang w:val="en-US"/>
        </w:rPr>
        <w:t xml:space="preserve">(2) </w:t>
      </w:r>
      <w:r w:rsidRPr="00AF0A55">
        <w:rPr>
          <w:rFonts w:ascii="Times New Roman" w:hAnsi="Times New Roman" w:cs="Times New Roman"/>
          <w:sz w:val="24"/>
          <w:szCs w:val="24"/>
        </w:rPr>
        <w:t>Bagaimana implementasi CSR oleh perusahaan dalam kaitannya dengan kepatuhan terhadap regulasi dan kebutuhan masyarakat</w:t>
      </w:r>
      <w:r w:rsidRPr="00AF0A55">
        <w:rPr>
          <w:rFonts w:ascii="Times New Roman" w:hAnsi="Times New Roman" w:cs="Times New Roman"/>
          <w:sz w:val="24"/>
          <w:szCs w:val="24"/>
          <w:lang w:val="en-US"/>
        </w:rPr>
        <w:t xml:space="preserve">? (3) </w:t>
      </w:r>
      <w:r w:rsidRPr="00AF0A55">
        <w:rPr>
          <w:rFonts w:ascii="Times New Roman" w:hAnsi="Times New Roman" w:cs="Times New Roman"/>
          <w:sz w:val="24"/>
          <w:szCs w:val="24"/>
        </w:rPr>
        <w:t>Apa saja kendala normatif dan praktis dalam penerapan CSR, serta bagaimana relevansi kebijakan publik dalam mengatasi permasalahan tersebut?</w:t>
      </w:r>
      <w:r w:rsidRPr="00AF0A55">
        <w:rPr>
          <w:rFonts w:ascii="Times New Roman" w:hAnsi="Times New Roman" w:cs="Times New Roman"/>
          <w:sz w:val="24"/>
          <w:szCs w:val="24"/>
          <w:lang w:val="en-US"/>
        </w:rPr>
        <w:t xml:space="preserve"> </w:t>
      </w:r>
    </w:p>
    <w:p w14:paraId="539A32C4" w14:textId="77777777" w:rsidR="00AF0A55" w:rsidRPr="00AF0A55" w:rsidRDefault="00AF0A55" w:rsidP="00AF0A55">
      <w:pPr>
        <w:spacing w:after="0" w:line="360" w:lineRule="auto"/>
        <w:ind w:firstLineChars="295" w:firstLine="708"/>
        <w:jc w:val="both"/>
        <w:rPr>
          <w:rFonts w:ascii="Times New Roman" w:hAnsi="Times New Roman" w:cs="Times New Roman"/>
          <w:sz w:val="24"/>
          <w:szCs w:val="24"/>
          <w:lang w:val="en-US"/>
        </w:rPr>
      </w:pPr>
    </w:p>
    <w:p w14:paraId="4C9C46BD" w14:textId="77777777" w:rsidR="0021239D" w:rsidRPr="00AF0A55" w:rsidRDefault="006D7456" w:rsidP="00AF0A55">
      <w:pPr>
        <w:numPr>
          <w:ilvl w:val="0"/>
          <w:numId w:val="1"/>
        </w:numPr>
        <w:spacing w:after="0" w:line="360" w:lineRule="auto"/>
        <w:jc w:val="both"/>
        <w:rPr>
          <w:rFonts w:ascii="Times New Roman" w:hAnsi="Times New Roman" w:cs="Times New Roman"/>
          <w:b/>
          <w:bCs/>
          <w:sz w:val="24"/>
          <w:szCs w:val="24"/>
          <w:lang w:val="en-US"/>
        </w:rPr>
      </w:pPr>
      <w:r w:rsidRPr="00AF0A55">
        <w:rPr>
          <w:rFonts w:ascii="Times New Roman" w:hAnsi="Times New Roman" w:cs="Times New Roman"/>
          <w:b/>
          <w:bCs/>
          <w:sz w:val="24"/>
          <w:szCs w:val="24"/>
          <w:lang w:val="en-US"/>
        </w:rPr>
        <w:t>KAJIAN TEORITIS</w:t>
      </w:r>
    </w:p>
    <w:p w14:paraId="2252A418"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Secara teoretis, </w:t>
      </w: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merupakan konsep multidimensional yang berada pada irisan antara hukum, etika bisnis, dan kebijakan publik. CSR lahir dari kesadaran bahwa aktivitas korporasi tidak hanya berdampak pada pemegang saham (</w:t>
      </w:r>
      <w:r w:rsidRPr="00AF0A55">
        <w:rPr>
          <w:rStyle w:val="Emphasis"/>
          <w:rFonts w:ascii="Times New Roman" w:hAnsi="Times New Roman" w:cs="Times New Roman"/>
          <w:sz w:val="24"/>
          <w:szCs w:val="24"/>
        </w:rPr>
        <w:t>shareholders</w:t>
      </w:r>
      <w:r w:rsidRPr="00AF0A55">
        <w:rPr>
          <w:rFonts w:ascii="Times New Roman" w:hAnsi="Times New Roman" w:cs="Times New Roman"/>
          <w:sz w:val="24"/>
          <w:szCs w:val="24"/>
        </w:rPr>
        <w:t>), tetapi juga pada pemangku kepentingan yang lebih luas (</w:t>
      </w:r>
      <w:r w:rsidRPr="00AF0A55">
        <w:rPr>
          <w:rStyle w:val="Emphasis"/>
          <w:rFonts w:ascii="Times New Roman" w:hAnsi="Times New Roman" w:cs="Times New Roman"/>
          <w:sz w:val="24"/>
          <w:szCs w:val="24"/>
        </w:rPr>
        <w:t>stakeholders</w:t>
      </w:r>
      <w:r w:rsidRPr="00AF0A55">
        <w:rPr>
          <w:rFonts w:ascii="Times New Roman" w:hAnsi="Times New Roman" w:cs="Times New Roman"/>
          <w:sz w:val="24"/>
          <w:szCs w:val="24"/>
        </w:rPr>
        <w:t xml:space="preserve">), termasuk masyarakat, lingkungan, dan negara. Dalam perspektif </w:t>
      </w:r>
      <w:r w:rsidRPr="00AF0A55">
        <w:rPr>
          <w:rStyle w:val="Emphasis"/>
          <w:rFonts w:ascii="Times New Roman" w:hAnsi="Times New Roman" w:cs="Times New Roman"/>
          <w:sz w:val="24"/>
          <w:szCs w:val="24"/>
        </w:rPr>
        <w:t>stakeholder theory</w:t>
      </w:r>
      <w:r w:rsidRPr="00AF0A55">
        <w:rPr>
          <w:rFonts w:ascii="Times New Roman" w:hAnsi="Times New Roman" w:cs="Times New Roman"/>
          <w:sz w:val="24"/>
          <w:szCs w:val="24"/>
        </w:rPr>
        <w:t>, perusahaan dipandang memiliki tanggung jawab sosial yang melekat karena keberadaannya tidak terlepas dari dukungan sumber daya publik dan legitimasi sosial yang diberikan oleh masyarakat (Freeman, 1984; Donaldson &amp; Preston, 1995).</w:t>
      </w:r>
    </w:p>
    <w:p w14:paraId="576DE19E" w14:textId="77777777" w:rsidR="0021239D" w:rsidRPr="00AF0A55" w:rsidRDefault="006D7456" w:rsidP="00AF0A55">
      <w:pPr>
        <w:pStyle w:val="NormalWeb"/>
        <w:spacing w:before="0" w:beforeAutospacing="0" w:after="0" w:afterAutospacing="0" w:line="360" w:lineRule="auto"/>
        <w:ind w:firstLine="720"/>
        <w:jc w:val="both"/>
      </w:pPr>
      <w:r w:rsidRPr="00AF0A55">
        <w:t>Dalam kajian hukum, CSR mengalami pergeseran paradigma dari konsep sukarela (</w:t>
      </w:r>
      <w:r w:rsidRPr="00AF0A55">
        <w:rPr>
          <w:rStyle w:val="Emphasis"/>
        </w:rPr>
        <w:t>voluntary-based responsibility</w:t>
      </w:r>
      <w:r w:rsidRPr="00AF0A55">
        <w:t>) menuju kewajiban hukum (</w:t>
      </w:r>
      <w:r w:rsidRPr="00AF0A55">
        <w:rPr>
          <w:rStyle w:val="Emphasis"/>
        </w:rPr>
        <w:t>mandatory-based responsibility</w:t>
      </w:r>
      <w:r w:rsidRPr="00AF0A55">
        <w:t xml:space="preserve">). Pergeseran ini dipengaruhi oleh berkembangnya paradigma </w:t>
      </w:r>
      <w:r w:rsidRPr="00AF0A55">
        <w:rPr>
          <w:rStyle w:val="Emphasis"/>
        </w:rPr>
        <w:t>welfare state</w:t>
      </w:r>
      <w:r w:rsidRPr="00AF0A55">
        <w:t xml:space="preserve"> dan </w:t>
      </w:r>
      <w:r w:rsidRPr="00AF0A55">
        <w:rPr>
          <w:rStyle w:val="Emphasis"/>
        </w:rPr>
        <w:t>regulatory state</w:t>
      </w:r>
      <w:r w:rsidRPr="00AF0A55">
        <w:t>, di mana negara tidak hanya berfungsi sebagai penjaga ketertiban, tetapi juga sebagai pengatur aktivitas ekonomi demi kepentingan publik. Dalam konteks ini, CSR dipahami sebagai instrumen hukum untuk menginternalisasi eksternalitas negatif kegiatan usaha serta mendorong distribusi manfaat pembangunan secara lebih adil (Gunningham, Kagan, &amp; Thornton, 2003; Muchlinski, 2012).</w:t>
      </w:r>
    </w:p>
    <w:p w14:paraId="2D754D61" w14:textId="77777777" w:rsidR="0021239D" w:rsidRPr="00AF0A55" w:rsidRDefault="006D7456" w:rsidP="00AF0A55">
      <w:pPr>
        <w:pStyle w:val="NormalWeb"/>
        <w:spacing w:before="0" w:beforeAutospacing="0" w:after="0" w:afterAutospacing="0" w:line="360" w:lineRule="auto"/>
        <w:ind w:firstLine="720"/>
        <w:jc w:val="both"/>
      </w:pPr>
      <w:r w:rsidRPr="00AF0A55">
        <w:t xml:space="preserve">Dari sudut pandang kebijakan publik, CSR merupakan bagian dari </w:t>
      </w:r>
      <w:r w:rsidRPr="00AF0A55">
        <w:rPr>
          <w:rStyle w:val="Emphasis"/>
        </w:rPr>
        <w:t>policy mix</w:t>
      </w:r>
      <w:r w:rsidRPr="00AF0A55">
        <w:t xml:space="preserve"> negara dalam mencapai tujuan pembangunan berkelanjutan. CSR berfungsi sebagai mekanisme komplementer yang menjembatani keterbatasan kapasitas fiskal negara dengan potensi sumber daya sektor swasta. Oleh karena itu, CSR tidak dapat dipisahkan dari agenda pembangunan nasional, perlindungan hak asasi manusia, dan keberlanjutan lingkungan. Kerangka ini sejalan dengan prinsip </w:t>
      </w:r>
      <w:r w:rsidRPr="00AF0A55">
        <w:rPr>
          <w:rStyle w:val="Emphasis"/>
        </w:rPr>
        <w:t>sustainable development</w:t>
      </w:r>
      <w:r w:rsidRPr="00AF0A55">
        <w:t xml:space="preserve"> yang menuntut keseimbangan antara pertumbuhan ekonomi, keadilan sosial, dan perlindungan lingkungan (Elkington, 1997; United Nations, 2015).</w:t>
      </w:r>
    </w:p>
    <w:p w14:paraId="08265A0F" w14:textId="77777777" w:rsidR="0021239D" w:rsidRPr="00AF0A55" w:rsidRDefault="006D7456" w:rsidP="00AF0A55">
      <w:pPr>
        <w:pStyle w:val="NormalWeb"/>
        <w:spacing w:before="0" w:beforeAutospacing="0" w:after="0" w:afterAutospacing="0" w:line="360" w:lineRule="auto"/>
        <w:ind w:firstLine="720"/>
        <w:jc w:val="both"/>
      </w:pPr>
      <w:r w:rsidRPr="00AF0A55">
        <w:t>Dalam sistem hukum Indonesia, konseptualisasi CSR menunjukkan karakter hibrid. Di satu sisi, CSR diposisikan sebagai kewajiban hukum melalui Undang-Undang Perseroan Terbatas dan peraturan turunannya. Di sisi lain, pengaturannya masih menyisakan ruang diskresi yang luas bagi perusahaan, baik dalam menentukan bentuk program, besaran anggaran, maupun mekanisme pelaksanaan. Kondisi ini menunjukkan adanya ketegangan antara pendekatan regulatif yang bersifat imperatif dengan pendekatan kebijakan yang lebih persuasif (Asshiddiqie, 2010; Rajagukguk, 2014).</w:t>
      </w:r>
    </w:p>
    <w:p w14:paraId="4259A06E" w14:textId="77777777" w:rsidR="0021239D" w:rsidRPr="00AF0A55" w:rsidRDefault="006D7456" w:rsidP="00AF0A55">
      <w:pPr>
        <w:pStyle w:val="NormalWeb"/>
        <w:spacing w:before="0" w:beforeAutospacing="0" w:after="0" w:afterAutospacing="0" w:line="360" w:lineRule="auto"/>
        <w:ind w:firstLine="720"/>
        <w:jc w:val="both"/>
      </w:pPr>
      <w:r w:rsidRPr="00AF0A55">
        <w:t>Secara normatif, problem utama dalam teori CSR di Indonesia terletak pada lemahnya integrasi antara norma hukum dan desain kebijakan publik. Ketika CSR hanya diatur sebagai kewajiban tanpa standar substansi, indikator kinerja, dan mekanisme sanksi yang jelas, maka CSR berpotensi direduksi menjadi simbol kepatuhan formal (</w:t>
      </w:r>
      <w:r w:rsidRPr="00AF0A55">
        <w:rPr>
          <w:rStyle w:val="Emphasis"/>
        </w:rPr>
        <w:t>symbolic compliance</w:t>
      </w:r>
      <w:r w:rsidRPr="00AF0A55">
        <w:t>). Oleh karena itu, secara teoretis, CSR perlu ditempatkan sebagai kebijakan hukum (</w:t>
      </w:r>
      <w:r w:rsidRPr="00AF0A55">
        <w:rPr>
          <w:rStyle w:val="Emphasis"/>
        </w:rPr>
        <w:t>legal policy</w:t>
      </w:r>
      <w:r w:rsidRPr="00AF0A55">
        <w:t>) yang menggabungkan kepastian hukum, akuntabilitas publik, dan efektivitas implementasi, sehingga mampu menjawab kebutuhan masyarakat secara nyata (Parker, 2002; Rahardjo, 2009).</w:t>
      </w:r>
    </w:p>
    <w:p w14:paraId="036C7188" w14:textId="77777777" w:rsidR="0021239D" w:rsidRPr="00AF0A55" w:rsidRDefault="0021239D" w:rsidP="00AF0A55">
      <w:pPr>
        <w:pStyle w:val="NormalWeb"/>
        <w:spacing w:before="0" w:beforeAutospacing="0" w:after="0" w:afterAutospacing="0" w:line="360" w:lineRule="auto"/>
        <w:ind w:leftChars="218" w:left="480" w:firstLineChars="227" w:firstLine="547"/>
        <w:jc w:val="both"/>
        <w:rPr>
          <w:b/>
          <w:bCs/>
          <w:lang w:val="en-US"/>
        </w:rPr>
      </w:pPr>
    </w:p>
    <w:p w14:paraId="724C3283" w14:textId="77777777" w:rsidR="0021239D" w:rsidRPr="00AF0A55" w:rsidRDefault="006D7456" w:rsidP="00AF0A55">
      <w:pPr>
        <w:numPr>
          <w:ilvl w:val="0"/>
          <w:numId w:val="1"/>
        </w:numPr>
        <w:spacing w:after="0" w:line="360" w:lineRule="auto"/>
        <w:jc w:val="both"/>
        <w:rPr>
          <w:rFonts w:ascii="Times New Roman" w:hAnsi="Times New Roman" w:cs="Times New Roman"/>
          <w:b/>
          <w:bCs/>
          <w:sz w:val="24"/>
          <w:szCs w:val="24"/>
          <w:lang w:val="en-US"/>
        </w:rPr>
      </w:pPr>
      <w:r w:rsidRPr="00AF0A55">
        <w:rPr>
          <w:rFonts w:ascii="Times New Roman" w:hAnsi="Times New Roman" w:cs="Times New Roman"/>
          <w:b/>
          <w:bCs/>
          <w:sz w:val="24"/>
          <w:szCs w:val="24"/>
          <w:lang w:val="en-US"/>
        </w:rPr>
        <w:t>METODE PENELITIAN</w:t>
      </w:r>
    </w:p>
    <w:p w14:paraId="703AD00F"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Penelitian ini menggunakan metode penelitian yuridis normatif, yaitu penelitian hukum yang berfokus pada analisis norma hukum, asas hukum, dan kebijakan publik yang mengatur </w:t>
      </w: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di Indonesia. Metode ini dipilih karena objek kajian penelitian tidak diarahkan pada perilaku empiris pelaku usaha, melainkan pada konstruksi normatif dan kebijakan yang membentuk kewajiban serta praktik CSR dalam sistem hukum nasional.</w:t>
      </w:r>
    </w:p>
    <w:p w14:paraId="1B4CD50D"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Pendekatan pertama yang digunakan adalah pendekatan perundang-undangan </w:t>
      </w:r>
      <w:r w:rsidRPr="00AF0A55">
        <w:rPr>
          <w:rFonts w:ascii="Times New Roman" w:hAnsi="Times New Roman" w:cs="Times New Roman"/>
          <w:i/>
          <w:iCs/>
          <w:sz w:val="24"/>
          <w:szCs w:val="24"/>
        </w:rPr>
        <w:t>(statute approach)</w:t>
      </w:r>
      <w:r w:rsidRPr="00AF0A55">
        <w:rPr>
          <w:rFonts w:ascii="Times New Roman" w:hAnsi="Times New Roman" w:cs="Times New Roman"/>
          <w:sz w:val="24"/>
          <w:szCs w:val="24"/>
        </w:rPr>
        <w:t>, yang dilakukan dengan menelaah berbagai instrumen hukum nasional yang mengatur CSR, khususnya Undang-Undang Nomor 40 Tahun 2007 tentang Perseroan Terbatas, Undang-Undang Nomor 25 Tahun 2007 tentang Penanaman Modal, Peraturan Pemerintah Nomor 47 Tahun 2012, serta regulasi sektoral dan kebijakan daerah terkait. Pendekatan ini bertujuan untuk menilai konsistensi norma, ruang lingkup kewajiban CSR, serta kekuatan mengikat pengaturan CSR dalam kerangka hukum positif.</w:t>
      </w:r>
    </w:p>
    <w:p w14:paraId="6D96021A"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Pendekatan kedua adalah pendekatan konseptual </w:t>
      </w:r>
      <w:r w:rsidRPr="00AF0A55">
        <w:rPr>
          <w:rFonts w:ascii="Times New Roman" w:hAnsi="Times New Roman" w:cs="Times New Roman"/>
          <w:i/>
          <w:iCs/>
          <w:sz w:val="24"/>
          <w:szCs w:val="24"/>
        </w:rPr>
        <w:t>(conceptual approach)</w:t>
      </w:r>
      <w:r w:rsidRPr="00AF0A55">
        <w:rPr>
          <w:rFonts w:ascii="Times New Roman" w:hAnsi="Times New Roman" w:cs="Times New Roman"/>
          <w:sz w:val="24"/>
          <w:szCs w:val="24"/>
        </w:rPr>
        <w:t>, yang digunakan untuk mengkaji konsep-konsep teoretis mengenai CSR, supremasi hukum, implementasi kebijakan publik, dan reformasi regulasi. Melalui pendekatan ini, penelitian menelaah pemikiran para ahli hukum, kebijakan publik, dan pembangunan berkelanjutan guna membangun kerangka analisis kritis terhadap posisi CSR sebagai kewajiban hukum dan instrumen kebijakan publik.</w:t>
      </w:r>
    </w:p>
    <w:p w14:paraId="2EDB89FF"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Pendekatan ketiga adalah pendekatan kasus </w:t>
      </w:r>
      <w:r w:rsidRPr="00AF0A55">
        <w:rPr>
          <w:rFonts w:ascii="Times New Roman" w:hAnsi="Times New Roman" w:cs="Times New Roman"/>
          <w:i/>
          <w:iCs/>
          <w:sz w:val="24"/>
          <w:szCs w:val="24"/>
        </w:rPr>
        <w:t>(case approach)</w:t>
      </w:r>
      <w:r w:rsidRPr="00AF0A55">
        <w:rPr>
          <w:rFonts w:ascii="Times New Roman" w:hAnsi="Times New Roman" w:cs="Times New Roman"/>
          <w:sz w:val="24"/>
          <w:szCs w:val="24"/>
        </w:rPr>
        <w:t>, yang dilakukan melalui telaah terhadap putusan pengadilan, khususnya putusan Mahkamah Agung dan Peradilan Tata Usaha Negara (PTUN), serta kebijakan pembatalan peraturan daerah terkait CSR. Pendekatan ini digunakan untuk melihat bagaimana norma CSR ditafsirkan dan diterapkan dalam praktik, sekaligus untuk mengidentifikasi pola disharmoni antara kebijakan pusat dan daerah.</w:t>
      </w:r>
    </w:p>
    <w:p w14:paraId="3749BA81"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Selain itu, penelitian ini juga menggunakan analisis kebijakan publik </w:t>
      </w:r>
      <w:r w:rsidRPr="00AF0A55">
        <w:rPr>
          <w:rFonts w:ascii="Times New Roman" w:hAnsi="Times New Roman" w:cs="Times New Roman"/>
          <w:i/>
          <w:iCs/>
          <w:sz w:val="24"/>
          <w:szCs w:val="24"/>
        </w:rPr>
        <w:t xml:space="preserve">(policy analysis) </w:t>
      </w:r>
      <w:r w:rsidRPr="00AF0A55">
        <w:rPr>
          <w:rFonts w:ascii="Times New Roman" w:hAnsi="Times New Roman" w:cs="Times New Roman"/>
          <w:sz w:val="24"/>
          <w:szCs w:val="24"/>
        </w:rPr>
        <w:t>untuk menilai efektivitas desain regulasi CSR sebagai instrumen kebijakan. Analisis ini mencakup evaluasi tujuan kebijakan, instrumen yang digunakan, aktor pelaksana, serta dampak kebijakan terhadap masyarakat. Dengan pendekatan ini, CSR tidak hanya dipahami sebagai kewajiban hukum formal, tetapi juga sebagai kebijakan publik yang harus diuji efektivitas dan legitimasi sosialnya.</w:t>
      </w:r>
    </w:p>
    <w:p w14:paraId="2284A98D"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Bahan hukum yang digunakan terdiri atas bahan hukum primer, bahan hukum sekunder, dan bahan hukum tersier. Seluruh bahan hukum dianalisis secara kualitatif dengan menggunakan penalaran deduktif dan metode interpretatif sistematis, sehingga menghasilkan kesimpulan normatif yang bersifat preskriptif dan argumentatif.</w:t>
      </w:r>
    </w:p>
    <w:p w14:paraId="56695306" w14:textId="77777777" w:rsidR="0021239D" w:rsidRPr="00AF0A55" w:rsidRDefault="0021239D" w:rsidP="00AF0A55">
      <w:pPr>
        <w:tabs>
          <w:tab w:val="left" w:pos="720"/>
        </w:tabs>
        <w:spacing w:after="0" w:line="360" w:lineRule="auto"/>
        <w:jc w:val="both"/>
        <w:rPr>
          <w:rFonts w:ascii="Times New Roman" w:hAnsi="Times New Roman" w:cs="Times New Roman"/>
          <w:sz w:val="24"/>
          <w:szCs w:val="24"/>
          <w:lang w:val="en-US"/>
        </w:rPr>
      </w:pPr>
    </w:p>
    <w:p w14:paraId="0A59F845" w14:textId="77777777" w:rsidR="00AF0A55" w:rsidRPr="00AF0A55" w:rsidRDefault="006D7456" w:rsidP="00AF0A55">
      <w:pPr>
        <w:numPr>
          <w:ilvl w:val="0"/>
          <w:numId w:val="1"/>
        </w:numPr>
        <w:spacing w:after="0" w:line="360" w:lineRule="auto"/>
        <w:jc w:val="both"/>
        <w:rPr>
          <w:rFonts w:ascii="Times New Roman" w:hAnsi="Times New Roman" w:cs="Times New Roman"/>
          <w:sz w:val="24"/>
          <w:szCs w:val="24"/>
          <w:lang w:val="en-US"/>
        </w:rPr>
      </w:pPr>
      <w:r w:rsidRPr="00AF0A55">
        <w:rPr>
          <w:rFonts w:ascii="Times New Roman" w:hAnsi="Times New Roman" w:cs="Times New Roman"/>
          <w:b/>
          <w:bCs/>
          <w:sz w:val="24"/>
          <w:szCs w:val="24"/>
          <w:lang w:val="en-US"/>
        </w:rPr>
        <w:t>HASIL DAN</w:t>
      </w:r>
      <w:r w:rsidRPr="00AF0A55">
        <w:rPr>
          <w:rFonts w:ascii="Times New Roman" w:hAnsi="Times New Roman" w:cs="Times New Roman"/>
          <w:b/>
          <w:bCs/>
          <w:sz w:val="24"/>
          <w:szCs w:val="24"/>
          <w:lang w:val="fi-FI"/>
        </w:rPr>
        <w:t xml:space="preserve"> PEMBAHASAN</w:t>
      </w:r>
      <w:r w:rsidRPr="00AF0A55">
        <w:rPr>
          <w:rFonts w:ascii="Times New Roman" w:hAnsi="Times New Roman" w:cs="Times New Roman"/>
          <w:b/>
          <w:bCs/>
          <w:sz w:val="24"/>
          <w:szCs w:val="24"/>
          <w:lang w:val="en-US"/>
        </w:rPr>
        <w:t xml:space="preserve"> </w:t>
      </w:r>
    </w:p>
    <w:p w14:paraId="21A2EDFD" w14:textId="2AACCEEF" w:rsidR="0021239D" w:rsidRPr="00AF0A55" w:rsidRDefault="00AF0A55" w:rsidP="00AF0A55">
      <w:pPr>
        <w:tabs>
          <w:tab w:val="left" w:pos="425"/>
        </w:tabs>
        <w:spacing w:after="0" w:line="360" w:lineRule="auto"/>
        <w:jc w:val="both"/>
        <w:rPr>
          <w:rFonts w:ascii="Times New Roman" w:hAnsi="Times New Roman" w:cs="Times New Roman"/>
          <w:sz w:val="24"/>
          <w:szCs w:val="24"/>
          <w:lang w:val="en-US"/>
        </w:rPr>
      </w:pPr>
      <w:r w:rsidRPr="00AF0A55">
        <w:rPr>
          <w:rFonts w:ascii="Times New Roman" w:hAnsi="Times New Roman" w:cs="Times New Roman"/>
          <w:b/>
          <w:bCs/>
          <w:sz w:val="24"/>
          <w:szCs w:val="24"/>
        </w:rPr>
        <w:t>Evaluasi Normatif Terhadap Pengaturan Csr Di Indonesia</w:t>
      </w:r>
    </w:p>
    <w:p w14:paraId="0290D077"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Evaluasi normatif terhadap pengaturan </w:t>
      </w: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bertujuan untuk menilai sejauh mana norma hukum yang berlaku telah memenuhi prinsip-prinsip dasar hukum, seperti kepastian hukum, keadilan, dan efektivitas regulasi. Dalam perspektif hukum dan kebijakan publik, evaluasi normatif tidak hanya berfokus pada keberadaan aturan tertulis, tetapi juga pada koherensi sistem hukum, kejelasan rumusan norma, serta kesesuaian antara tujuan pengaturan dan instrumen hukum yang digunakan. Oleh karena itu, pengaturan CSR perlu dianalisis secara kritis untuk melihat apakah norma-norma yang ada telah dirancang secara sistematis dan mampu menjawab kompleksitas hubungan antara negara, korporasi, dan masyarakat.</w:t>
      </w:r>
    </w:p>
    <w:p w14:paraId="089A18A3"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Lebih lanjut, evaluasi normatif juga berfungsi untuk mengidentifikasi potensi kelemahan struktural dalam desain regulasi CSR yang dapat menghambat implementasi di tingkat praktik. Ketika norma hukum tidak disertai dengan definisi yang jelas, ruang lingkup kewajiban yang proporsional, serta mekanisme penegakan yang efektif, maka hukum berpotensi kehilangan daya regulatifnya. Dalam konteks CSR, kelemahan normatif tersebut berdampak langsung pada rendahnya akuntabilitas perusahaan dan terbatasnya perlindungan kepentingan publik, sehingga CSR berisiko direduksi menjadi sekadar simbol kepatuhan formal tanpa makna substantif.</w:t>
      </w:r>
    </w:p>
    <w:p w14:paraId="1AAFC98F"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Kelemahan normatif dalam kerangka hukum CSR menunjukkan bahwa regulasi yang ada belum mampu menciptakan kepastian hukum maupun keseragaman praktik antar sektor industri. Pembatasan kewajiban CSR hanya pada perusahaan yang bergerak di bidang atau berkaitan dengan sumber daya alam telah menciptakan </w:t>
      </w:r>
      <w:r w:rsidRPr="00AF0A55">
        <w:rPr>
          <w:rFonts w:ascii="Times New Roman" w:hAnsi="Times New Roman" w:cs="Times New Roman"/>
          <w:i/>
          <w:iCs/>
          <w:sz w:val="24"/>
          <w:szCs w:val="24"/>
        </w:rPr>
        <w:t>regulatory gap</w:t>
      </w:r>
      <w:r w:rsidRPr="00AF0A55">
        <w:rPr>
          <w:rFonts w:ascii="Times New Roman" w:hAnsi="Times New Roman" w:cs="Times New Roman"/>
          <w:sz w:val="24"/>
          <w:szCs w:val="24"/>
        </w:rPr>
        <w:t xml:space="preserve"> yang signifikan</w:t>
      </w:r>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Undang-Undang</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Nomor</w:t>
      </w:r>
      <w:proofErr w:type="spellEnd"/>
      <w:r w:rsidRPr="00AF0A55">
        <w:rPr>
          <w:rFonts w:ascii="Times New Roman" w:hAnsi="Times New Roman" w:cs="Times New Roman"/>
          <w:sz w:val="24"/>
          <w:szCs w:val="24"/>
          <w:lang w:val="en-US"/>
        </w:rPr>
        <w:t xml:space="preserve"> 40 </w:t>
      </w:r>
      <w:proofErr w:type="spellStart"/>
      <w:r w:rsidRPr="00AF0A55">
        <w:rPr>
          <w:rFonts w:ascii="Times New Roman" w:hAnsi="Times New Roman" w:cs="Times New Roman"/>
          <w:sz w:val="24"/>
          <w:szCs w:val="24"/>
          <w:lang w:val="en-US"/>
        </w:rPr>
        <w:t>Tahun</w:t>
      </w:r>
      <w:proofErr w:type="spellEnd"/>
      <w:r w:rsidRPr="00AF0A55">
        <w:rPr>
          <w:rFonts w:ascii="Times New Roman" w:hAnsi="Times New Roman" w:cs="Times New Roman"/>
          <w:sz w:val="24"/>
          <w:szCs w:val="24"/>
          <w:lang w:val="en-US"/>
        </w:rPr>
        <w:t xml:space="preserve"> 2007, Pasal 74)</w:t>
      </w:r>
      <w:r w:rsidRPr="00AF0A55">
        <w:rPr>
          <w:rFonts w:ascii="Times New Roman" w:hAnsi="Times New Roman" w:cs="Times New Roman"/>
          <w:sz w:val="24"/>
          <w:szCs w:val="24"/>
        </w:rPr>
        <w:t>. Padahal, dampak sosial-ekonomi dan lingkungan tidak hanya lahir dari sektor ekstraktif; industri manufaktur, jasa digital, perbankan, hingga logistik kini memiliki kontribusi besar terhadap kerentanan masyarakat dan lingkungan. Ketidakseimbangan ini memunculkan disparitas kewajiban antar pelaku usaha dan memperlemah prinsip keadilan regulatif.</w:t>
      </w:r>
    </w:p>
    <w:p w14:paraId="64D44117"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rPr>
        <w:t>Selain itu, ketidakjelasan sanksi memperlemah fungsi hukum sebagai instrumen deterrence. PP 47/2012 menegaskan kewajiban CSR, namun tidak mengatur konsekuensi hukum jika perusahaan tidak melaksanakannya</w:t>
      </w:r>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Peraturan</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Pemerintah</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Nomor</w:t>
      </w:r>
      <w:proofErr w:type="spellEnd"/>
      <w:r w:rsidRPr="00AF0A55">
        <w:rPr>
          <w:rFonts w:ascii="Times New Roman" w:hAnsi="Times New Roman" w:cs="Times New Roman"/>
          <w:sz w:val="24"/>
          <w:szCs w:val="24"/>
          <w:lang w:val="en-US"/>
        </w:rPr>
        <w:t xml:space="preserve"> 47 </w:t>
      </w:r>
      <w:proofErr w:type="spellStart"/>
      <w:r w:rsidRPr="00AF0A55">
        <w:rPr>
          <w:rFonts w:ascii="Times New Roman" w:hAnsi="Times New Roman" w:cs="Times New Roman"/>
          <w:sz w:val="24"/>
          <w:szCs w:val="24"/>
          <w:lang w:val="en-US"/>
        </w:rPr>
        <w:t>Tahun</w:t>
      </w:r>
      <w:proofErr w:type="spellEnd"/>
      <w:r w:rsidRPr="00AF0A55">
        <w:rPr>
          <w:rFonts w:ascii="Times New Roman" w:hAnsi="Times New Roman" w:cs="Times New Roman"/>
          <w:sz w:val="24"/>
          <w:szCs w:val="24"/>
          <w:lang w:val="en-US"/>
        </w:rPr>
        <w:t xml:space="preserve"> 2012)</w:t>
      </w:r>
      <w:r w:rsidRPr="00AF0A55">
        <w:rPr>
          <w:rFonts w:ascii="Times New Roman" w:hAnsi="Times New Roman" w:cs="Times New Roman"/>
          <w:sz w:val="24"/>
          <w:szCs w:val="24"/>
        </w:rPr>
        <w:t>.</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 xml:space="preserve">Ketiadaan sanksi administratif maupun sanksi keberlanjutan izin usaha membuat CSR dipahami hanya sebagai kewajiban deklaratif. Hal ini menyebabkan perusahaan cenderung menjalankan CSR sebagai formalitas, bukan sebagai kewajiban hukum yang memiliki implikasi langsung terhadap </w:t>
      </w:r>
      <w:r w:rsidRPr="00AF0A55">
        <w:rPr>
          <w:rFonts w:ascii="Times New Roman" w:hAnsi="Times New Roman" w:cs="Times New Roman"/>
          <w:i/>
          <w:iCs/>
          <w:sz w:val="24"/>
          <w:szCs w:val="24"/>
        </w:rPr>
        <w:t>corporate governance</w:t>
      </w:r>
      <w:r w:rsidRPr="00AF0A55">
        <w:rPr>
          <w:rFonts w:ascii="Times New Roman" w:hAnsi="Times New Roman" w:cs="Times New Roman"/>
          <w:sz w:val="24"/>
          <w:szCs w:val="24"/>
          <w:lang w:val="en-US"/>
        </w:rPr>
        <w:t>.</w:t>
      </w:r>
    </w:p>
    <w:p w14:paraId="3DD1EB41"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Multitafsir konsep CSR juga menjadi problem krusial. Ketidakseragaman definisi mengakibatkan perusahaan memiliki kebebasan luas dalam menentukan ruang lingkup CSR, sering kali tanpa mempertimbangkan kebutuhan masyarakat lokal. Karena tidak ada standar nasional mengenai substansi program, ukuran keberhasilan, maupun batas minimal kontribusi, implementasi CSR berjalan secara variatif dan tidak terukur</w:t>
      </w:r>
      <w:r w:rsidRPr="00AF0A55">
        <w:rPr>
          <w:rFonts w:ascii="Times New Roman" w:hAnsi="Times New Roman" w:cs="Times New Roman"/>
          <w:sz w:val="24"/>
          <w:szCs w:val="24"/>
          <w:lang w:val="en-US"/>
        </w:rPr>
        <w:t xml:space="preserve"> (WBCSD, 2000)</w:t>
      </w:r>
      <w:r w:rsidRPr="00AF0A55">
        <w:rPr>
          <w:rFonts w:ascii="Times New Roman" w:hAnsi="Times New Roman" w:cs="Times New Roman"/>
          <w:sz w:val="24"/>
          <w:szCs w:val="24"/>
        </w:rPr>
        <w:t>. Kerangka normatif ini tidak memberikan basis kuat untuk penilaian akuntabilitas publik sehingga memunculkan ruang gelap (</w:t>
      </w:r>
      <w:r w:rsidRPr="00AF0A55">
        <w:rPr>
          <w:rFonts w:ascii="Times New Roman" w:hAnsi="Times New Roman" w:cs="Times New Roman"/>
          <w:i/>
          <w:iCs/>
          <w:sz w:val="24"/>
          <w:szCs w:val="24"/>
        </w:rPr>
        <w:t>grey area</w:t>
      </w:r>
      <w:r w:rsidRPr="00AF0A55">
        <w:rPr>
          <w:rFonts w:ascii="Times New Roman" w:hAnsi="Times New Roman" w:cs="Times New Roman"/>
          <w:sz w:val="24"/>
          <w:szCs w:val="24"/>
        </w:rPr>
        <w:t>) dalam pengawasan.</w:t>
      </w:r>
    </w:p>
    <w:p w14:paraId="393B0151" w14:textId="02667DD6" w:rsidR="0021239D" w:rsidRPr="00AF0A55" w:rsidRDefault="00AF0A55" w:rsidP="00AF0A55">
      <w:pPr>
        <w:pStyle w:val="NormalWeb"/>
        <w:spacing w:before="0" w:beforeAutospacing="0" w:after="0" w:afterAutospacing="0" w:line="360" w:lineRule="auto"/>
        <w:jc w:val="both"/>
        <w:rPr>
          <w:b/>
          <w:bCs/>
          <w:lang w:val="en-US"/>
        </w:rPr>
      </w:pPr>
      <w:r w:rsidRPr="00AF0A55">
        <w:rPr>
          <w:b/>
          <w:bCs/>
        </w:rPr>
        <w:t>Analisis Implementasi Csr; Temuan Dan Kekurangan Praktis</w:t>
      </w:r>
    </w:p>
    <w:p w14:paraId="27AE5F10"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Analisis implementasi </w:t>
      </w: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menitikberatkan pada bagaimana norma hukum dan kebijakan publik diterjemahkan ke dalam tindakan konkret oleh perusahaan. Dalam perspektif kebijakan publik, implementasi merupakan tahap krusial karena menentukan apakah suatu regulasi benar-benar menghasilkan dampak sosial yang diharapkan atau justru berhenti pada tataran formalitas administratif. Oleh karena itu, evaluasi implementasi CSR perlu dilakukan untuk mengidentifikasi kesenjangan antara desain regulasi dan praktik di lapangan, serta untuk menilai efektivitas instrumen hukum dalam mendorong perubahan perilaku korporasi.</w:t>
      </w:r>
    </w:p>
    <w:p w14:paraId="6781AC19"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Lebih lanjut, analisis implementasi CSR juga berfungsi untuk mengungkap faktor-faktor struktural dan institusional yang mempengaruhi keberhasilan atau kegagalan pelaksanaan CSR. Faktor tersebut meliputi kapasitas kelembagaan perusahaan, mekanisme pengawasan negara, tingkat partisipasi masyarakat, serta ketersediaan standar pelaporan dan evaluasi yang objektif. Ketika aspek-aspek tersebut tidak berjalan secara sinergis, CSR cenderung dilaksanakan secara minimalis dan simbolik, sehingga tujuan akuntabilitas sosial dan pembangunan berkelanjutan sulit tercapai.</w:t>
      </w:r>
    </w:p>
    <w:p w14:paraId="74B41944"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lang w:val="en-US"/>
        </w:rPr>
        <w:t>P</w:t>
      </w:r>
      <w:r w:rsidRPr="00AF0A55">
        <w:rPr>
          <w:rFonts w:ascii="Times New Roman" w:hAnsi="Times New Roman" w:cs="Times New Roman"/>
          <w:sz w:val="24"/>
          <w:szCs w:val="24"/>
        </w:rPr>
        <w:t xml:space="preserve">raktik CSR Indonesia </w:t>
      </w:r>
      <w:proofErr w:type="spellStart"/>
      <w:r w:rsidRPr="00AF0A55">
        <w:rPr>
          <w:rFonts w:ascii="Times New Roman" w:hAnsi="Times New Roman" w:cs="Times New Roman"/>
          <w:sz w:val="24"/>
          <w:szCs w:val="24"/>
          <w:lang w:val="en-US"/>
        </w:rPr>
        <w:t>masih</w:t>
      </w:r>
      <w:proofErr w:type="spellEnd"/>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 xml:space="preserve">menunjukkan kelemahan normatif </w:t>
      </w:r>
      <w:r w:rsidRPr="00AF0A55">
        <w:rPr>
          <w:rFonts w:ascii="Times New Roman" w:hAnsi="Times New Roman" w:cs="Times New Roman"/>
          <w:sz w:val="24"/>
          <w:szCs w:val="24"/>
          <w:lang w:val="en-US"/>
        </w:rPr>
        <w:t>yang</w:t>
      </w:r>
      <w:r w:rsidRPr="00AF0A55">
        <w:rPr>
          <w:rFonts w:ascii="Times New Roman" w:hAnsi="Times New Roman" w:cs="Times New Roman"/>
          <w:sz w:val="24"/>
          <w:szCs w:val="24"/>
        </w:rPr>
        <w:t xml:space="preserve"> tercermin secara langsung dalam aspek implementasi. Pertama, pelaporan CSR oleh perusahaan mayoritas dilakukan secara internal tanpa standar baku. Banyak laporan bersifat </w:t>
      </w:r>
      <w:r w:rsidRPr="00AF0A55">
        <w:rPr>
          <w:rFonts w:ascii="Times New Roman" w:hAnsi="Times New Roman" w:cs="Times New Roman"/>
          <w:i/>
          <w:iCs/>
          <w:sz w:val="24"/>
          <w:szCs w:val="24"/>
        </w:rPr>
        <w:t>self-assessed</w:t>
      </w:r>
      <w:r w:rsidRPr="00AF0A55">
        <w:rPr>
          <w:rFonts w:ascii="Times New Roman" w:hAnsi="Times New Roman" w:cs="Times New Roman"/>
          <w:sz w:val="24"/>
          <w:szCs w:val="24"/>
        </w:rPr>
        <w:t xml:space="preserve">, tidak diaudit pihak ketiga, serta tidak menggunakan parameter keberlanjutan seperti GRI </w:t>
      </w:r>
      <w:r w:rsidRPr="00AF0A55">
        <w:rPr>
          <w:rFonts w:ascii="Times New Roman" w:hAnsi="Times New Roman" w:cs="Times New Roman"/>
          <w:i/>
          <w:iCs/>
          <w:sz w:val="24"/>
          <w:szCs w:val="24"/>
        </w:rPr>
        <w:t>Standards</w:t>
      </w:r>
      <w:r w:rsidRPr="00AF0A55">
        <w:rPr>
          <w:rFonts w:ascii="Times New Roman" w:hAnsi="Times New Roman" w:cs="Times New Roman"/>
          <w:i/>
          <w:iCs/>
          <w:sz w:val="24"/>
          <w:szCs w:val="24"/>
          <w:lang w:val="en-US"/>
        </w:rPr>
        <w:t xml:space="preserve"> (Global Reporting Initiative [GRI], 2021)</w:t>
      </w:r>
      <w:r w:rsidRPr="00AF0A55">
        <w:rPr>
          <w:rFonts w:ascii="Times New Roman" w:hAnsi="Times New Roman" w:cs="Times New Roman"/>
          <w:sz w:val="24"/>
          <w:szCs w:val="24"/>
        </w:rPr>
        <w:t>. Ketidakseragaman format menyebabkan pemerintah kesulitan melakukan komparasi antar perusahaan, dan masyarakat tidak mendapatkan informasi yang transparan.</w:t>
      </w:r>
      <w:r w:rsidRPr="00AF0A55">
        <w:rPr>
          <w:rFonts w:ascii="Times New Roman" w:hAnsi="Times New Roman" w:cs="Times New Roman"/>
          <w:sz w:val="24"/>
          <w:szCs w:val="24"/>
          <w:lang w:val="en-US"/>
        </w:rPr>
        <w:t xml:space="preserve"> </w:t>
      </w:r>
    </w:p>
    <w:p w14:paraId="3C3A2BE8"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rPr>
        <w:t xml:space="preserve">Problem kedua adalah dominasi CSR seremonial. Banyak program CSR masih berupa kegiatan “pemberian bantuan sesaat” seperti pembagian paket sembako, acara festival, atau kegiatan filantropi yang tidak memiliki dampak jangka panjang. Minimnya pelibatan masyarakat </w:t>
      </w:r>
      <w:r w:rsidRPr="00AF0A55">
        <w:rPr>
          <w:rFonts w:ascii="Times New Roman" w:hAnsi="Times New Roman" w:cs="Times New Roman"/>
          <w:i/>
          <w:iCs/>
          <w:sz w:val="24"/>
          <w:szCs w:val="24"/>
        </w:rPr>
        <w:t>(community engagement)</w:t>
      </w:r>
      <w:r w:rsidRPr="00AF0A55">
        <w:rPr>
          <w:rFonts w:ascii="Times New Roman" w:hAnsi="Times New Roman" w:cs="Times New Roman"/>
          <w:sz w:val="24"/>
          <w:szCs w:val="24"/>
        </w:rPr>
        <w:t xml:space="preserve"> mengakibatkan ketidaksesuaian antara program perusahaan dan kebutuhan riil komunitas. Hal ini memperlemah legitimasi sosial CSR dan membuatnya gagal berperan sebagai instrumen pembangunan berkelanjutan.</w:t>
      </w:r>
      <w:r w:rsidRPr="00AF0A55">
        <w:rPr>
          <w:rFonts w:ascii="Times New Roman" w:hAnsi="Times New Roman" w:cs="Times New Roman"/>
          <w:sz w:val="24"/>
          <w:szCs w:val="24"/>
          <w:lang w:val="en-US"/>
        </w:rPr>
        <w:t xml:space="preserve"> </w:t>
      </w:r>
    </w:p>
    <w:p w14:paraId="1EB333D5"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Temuan ketiga adalah rendahnya transparansi dana CSR. Pengungkapan dana secara parsial membuat publik sulit menilai proporsionalitas alokasi terhadap kapasitas ekonomi perusahaan. Ketiadaan kewajiban audit sosial memperburuk situasi tersebut karena tidak ada mekanisme verifikasi independen terhadap efektivitas dan distribusi manfaat</w:t>
      </w:r>
      <w:r w:rsidRPr="00AF0A55">
        <w:rPr>
          <w:rFonts w:ascii="Times New Roman" w:hAnsi="Times New Roman" w:cs="Times New Roman"/>
          <w:sz w:val="24"/>
          <w:szCs w:val="24"/>
          <w:lang w:val="en-US"/>
        </w:rPr>
        <w:t xml:space="preserve"> (Marzuki, 2017)</w:t>
      </w:r>
      <w:r w:rsidRPr="00AF0A55">
        <w:rPr>
          <w:rFonts w:ascii="Times New Roman" w:hAnsi="Times New Roman" w:cs="Times New Roman"/>
          <w:sz w:val="24"/>
          <w:szCs w:val="24"/>
        </w:rPr>
        <w:t>.</w:t>
      </w:r>
    </w:p>
    <w:p w14:paraId="5BD82FF8"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Selain itu, banyak peraturan daerah terkait CSR dibatalkan oleh pemerintah pusat karena dinilai melampaui kewenangan, terutama ketika pemda mewajibkan besaran dana CSR tertentu atau melakukan intervensi pada penyaluran dana. Fenomena ini mencerminkan ketidaksinkronan antara kebijakan daerah dan kerangka hukum nasional. Ketidakselarasan ini berpotensi menimbulkan void of authority dan menghambat koordinasi antar</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pemangku kepentingan</w:t>
      </w:r>
      <w:r w:rsidRPr="00AF0A55">
        <w:rPr>
          <w:rFonts w:ascii="Times New Roman" w:hAnsi="Times New Roman" w:cs="Times New Roman"/>
          <w:sz w:val="24"/>
          <w:szCs w:val="24"/>
          <w:lang w:val="en-US"/>
        </w:rPr>
        <w:t xml:space="preserve"> (Kementerian Dalam Negeri, 2015)</w:t>
      </w:r>
      <w:r w:rsidRPr="00AF0A55">
        <w:rPr>
          <w:rFonts w:ascii="Times New Roman" w:hAnsi="Times New Roman" w:cs="Times New Roman"/>
          <w:sz w:val="24"/>
          <w:szCs w:val="24"/>
        </w:rPr>
        <w:t>.</w:t>
      </w:r>
    </w:p>
    <w:p w14:paraId="0FB522C6" w14:textId="70F019A7" w:rsidR="0021239D" w:rsidRPr="00AF0A55" w:rsidRDefault="00AF0A55" w:rsidP="00AF0A55">
      <w:pPr>
        <w:pStyle w:val="NormalWeb"/>
        <w:spacing w:before="0" w:beforeAutospacing="0" w:after="0" w:afterAutospacing="0" w:line="360" w:lineRule="auto"/>
        <w:jc w:val="both"/>
      </w:pPr>
      <w:r w:rsidRPr="00AF0A55">
        <w:rPr>
          <w:b/>
          <w:bCs/>
        </w:rPr>
        <w:t>Arah Reformasi Kebijakan Csr Dan Relevansinya</w:t>
      </w:r>
    </w:p>
    <w:p w14:paraId="3303CC10"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Arah reformasi kebijakan Corporate Social Responsibility (CSR) perlu dipahami sebagai respons normatif dan strategis atas berbagai kelemahan regulatif dan implementatif yang telah diidentifikasi pada pembahasan sebelumnya. Dalam perspektif kebijakan publik, reformasi tidak semata-mata dimaknai sebagai perubahan norma hukum, tetapi juga sebagai upaya penataan ulang tujuan, instrumen, dan mekanisme pelaksanaan kebijakan agar selaras dengan dinamika sosial, ekonomi, dan lingkungan yang terus berkembang. Oleh karena itu, reformasi kebijakan CSR harus diarahkan pada penguatan peran negara dalam memastikan bahwa tanggung jawab sosial perusahaan benar-benar berkontribusi terhadap kepentingan publik dan pembangunan berkelanjutan.</w:t>
      </w:r>
    </w:p>
    <w:p w14:paraId="33B85C41"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Lebih lanjut, relevansi reformasi kebijakan CSR terletak pada kemampuannya untuk menjembatani kepentingan korporasi dengan kebutuhan masyarakat serta agenda pembangunan nasional. Kebijakan CSR yang dirancang secara komprehensif dapat berfungsi sebagai instrumen korektif terhadap dampak eksternalitas negatif kegiatan usaha, sekaligus sebagai mekanisme redistribusi manfaat pembangunan. Tanpa reformasi yang sistematis dan terintegrasi, CSR berpotensi terus dipraktikkan secara fragmentaris dan simbolik, sehingga gagal mewujudkan akuntabilitas sosial yang substansial.</w:t>
      </w:r>
    </w:p>
    <w:p w14:paraId="42B7E64E"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lang w:val="en-US"/>
        </w:rPr>
      </w:pPr>
      <w:r w:rsidRPr="00AF0A55">
        <w:rPr>
          <w:rFonts w:ascii="Times New Roman" w:hAnsi="Times New Roman" w:cs="Times New Roman"/>
          <w:sz w:val="24"/>
          <w:szCs w:val="24"/>
        </w:rPr>
        <w:t>Arah reformasi kebijakan CSR diperlukan untuk menutup celah normatif dan mengatasi kelemahan implementatif yang telah diidentifikasi. Perluasan kewajiban CSR ke seluruh sektor industri merupakan langkah logis untuk menghilangkan disparitas regulatif serta mempertegas fungsi CSR sebagai kewajiban hukum yang melekat pada seluruh bentuk kegiatan usaha</w:t>
      </w:r>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Undang-Undang</w:t>
      </w:r>
      <w:proofErr w:type="spellEnd"/>
      <w:r w:rsidRPr="00AF0A55">
        <w:rPr>
          <w:rFonts w:ascii="Times New Roman" w:hAnsi="Times New Roman" w:cs="Times New Roman"/>
          <w:sz w:val="24"/>
          <w:szCs w:val="24"/>
          <w:lang w:val="en-US"/>
        </w:rPr>
        <w:t xml:space="preserve"> </w:t>
      </w:r>
      <w:proofErr w:type="spellStart"/>
      <w:r w:rsidRPr="00AF0A55">
        <w:rPr>
          <w:rFonts w:ascii="Times New Roman" w:hAnsi="Times New Roman" w:cs="Times New Roman"/>
          <w:sz w:val="24"/>
          <w:szCs w:val="24"/>
          <w:lang w:val="en-US"/>
        </w:rPr>
        <w:t>Nomor</w:t>
      </w:r>
      <w:proofErr w:type="spellEnd"/>
      <w:r w:rsidRPr="00AF0A55">
        <w:rPr>
          <w:rFonts w:ascii="Times New Roman" w:hAnsi="Times New Roman" w:cs="Times New Roman"/>
          <w:sz w:val="24"/>
          <w:szCs w:val="24"/>
          <w:lang w:val="en-US"/>
        </w:rPr>
        <w:t xml:space="preserve"> 40 </w:t>
      </w:r>
      <w:proofErr w:type="spellStart"/>
      <w:r w:rsidRPr="00AF0A55">
        <w:rPr>
          <w:rFonts w:ascii="Times New Roman" w:hAnsi="Times New Roman" w:cs="Times New Roman"/>
          <w:sz w:val="24"/>
          <w:szCs w:val="24"/>
          <w:lang w:val="en-US"/>
        </w:rPr>
        <w:t>Tahun</w:t>
      </w:r>
      <w:proofErr w:type="spellEnd"/>
      <w:r w:rsidRPr="00AF0A55">
        <w:rPr>
          <w:rFonts w:ascii="Times New Roman" w:hAnsi="Times New Roman" w:cs="Times New Roman"/>
          <w:sz w:val="24"/>
          <w:szCs w:val="24"/>
          <w:lang w:val="en-US"/>
        </w:rPr>
        <w:t xml:space="preserve"> 2007, Pasal 74)</w:t>
      </w:r>
      <w:r w:rsidRPr="00AF0A55">
        <w:rPr>
          <w:rFonts w:ascii="Times New Roman" w:hAnsi="Times New Roman" w:cs="Times New Roman"/>
          <w:sz w:val="24"/>
          <w:szCs w:val="24"/>
        </w:rPr>
        <w:t>. Dengan perluasan ini, prinsip keadilan horizontal dapat tercapai, dan negara memiliki landasan kuat untuk membangun standar nasional CSR yang inklusif dan setara.</w:t>
      </w:r>
      <w:r w:rsidRPr="00AF0A55">
        <w:rPr>
          <w:rFonts w:ascii="Times New Roman" w:hAnsi="Times New Roman" w:cs="Times New Roman"/>
          <w:sz w:val="24"/>
          <w:szCs w:val="24"/>
          <w:lang w:val="en-US"/>
        </w:rPr>
        <w:t xml:space="preserve"> </w:t>
      </w:r>
    </w:p>
    <w:p w14:paraId="240B1D1F"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Reformasi selanjutnya adalah pembentukan standar pelaporan CSR nasional berbasis akuntabilitas publik. Standar ini harus mengatur format, indikator, dan metodologi pelaporan agar tercipta konsistensi dan keterbandingan antar pelaku usaha. Dengan format baku, pemerintah dapat melakukan </w:t>
      </w:r>
      <w:r w:rsidRPr="00AF0A55">
        <w:rPr>
          <w:rFonts w:ascii="Times New Roman" w:hAnsi="Times New Roman" w:cs="Times New Roman"/>
          <w:i/>
          <w:iCs/>
          <w:sz w:val="24"/>
          <w:szCs w:val="24"/>
        </w:rPr>
        <w:t>performance monitoring</w:t>
      </w:r>
      <w:r w:rsidRPr="00AF0A55">
        <w:rPr>
          <w:rFonts w:ascii="Times New Roman" w:hAnsi="Times New Roman" w:cs="Times New Roman"/>
          <w:sz w:val="24"/>
          <w:szCs w:val="24"/>
        </w:rPr>
        <w:t xml:space="preserve">, sementara masyarakat mendapatkan hak atas informasi yang relevan untuk evaluasi sosial. Instrumen ini juga menjadi dasar bagi pemberlakuan </w:t>
      </w:r>
      <w:r w:rsidRPr="00AF0A55">
        <w:rPr>
          <w:rFonts w:ascii="Times New Roman" w:hAnsi="Times New Roman" w:cs="Times New Roman"/>
          <w:i/>
          <w:iCs/>
          <w:sz w:val="24"/>
          <w:szCs w:val="24"/>
        </w:rPr>
        <w:t xml:space="preserve">social accountability </w:t>
      </w:r>
      <w:r w:rsidRPr="00AF0A55">
        <w:rPr>
          <w:rFonts w:ascii="Times New Roman" w:hAnsi="Times New Roman" w:cs="Times New Roman"/>
          <w:sz w:val="24"/>
          <w:szCs w:val="24"/>
        </w:rPr>
        <w:t>audit yang memastikan validitas data pelaporan</w:t>
      </w:r>
      <w:r w:rsidRPr="00AF0A55">
        <w:rPr>
          <w:rFonts w:ascii="Times New Roman" w:hAnsi="Times New Roman" w:cs="Times New Roman"/>
          <w:sz w:val="24"/>
          <w:szCs w:val="24"/>
          <w:lang w:val="en-US"/>
        </w:rPr>
        <w:t xml:space="preserve"> (GRI, 2021)</w:t>
      </w:r>
      <w:r w:rsidRPr="00AF0A55">
        <w:rPr>
          <w:rFonts w:ascii="Times New Roman" w:hAnsi="Times New Roman" w:cs="Times New Roman"/>
          <w:sz w:val="24"/>
          <w:szCs w:val="24"/>
        </w:rPr>
        <w:t>.</w:t>
      </w:r>
    </w:p>
    <w:p w14:paraId="5968FF7C" w14:textId="77777777" w:rsidR="0021239D" w:rsidRPr="00AF0A55" w:rsidRDefault="006D7456" w:rsidP="00AF0A55">
      <w:pPr>
        <w:spacing w:after="0" w:line="360" w:lineRule="auto"/>
        <w:ind w:firstLineChars="295" w:firstLine="708"/>
        <w:jc w:val="both"/>
        <w:rPr>
          <w:rFonts w:ascii="Times New Roman" w:hAnsi="Times New Roman" w:cs="Times New Roman"/>
          <w:b/>
          <w:bCs/>
          <w:sz w:val="24"/>
          <w:szCs w:val="24"/>
          <w:lang w:val="fi-FI"/>
        </w:rPr>
      </w:pPr>
      <w:r w:rsidRPr="00AF0A55">
        <w:rPr>
          <w:rFonts w:ascii="Times New Roman" w:hAnsi="Times New Roman" w:cs="Times New Roman"/>
          <w:sz w:val="24"/>
          <w:szCs w:val="24"/>
        </w:rPr>
        <w:t>Pembentukan portal nasional keterbukaan dana CSR menjadi inovasi kebijakan untuk mengatasi minimnya transparansi. Portal ini berfungsi sebagai basis data publik yang mencatat seluruh alokasi dan penggunaan dana CSR, termasuk program, lokasi sasaran, nilai anggaran, serta hasil evaluasi. Dengan demikian, potensi penyimpangan, duplikasi program, dan intervensi birokratis dapat diminimalisir.</w:t>
      </w:r>
      <w:r w:rsidRPr="00AF0A55">
        <w:rPr>
          <w:rFonts w:ascii="Times New Roman" w:hAnsi="Times New Roman" w:cs="Times New Roman"/>
          <w:sz w:val="24"/>
          <w:szCs w:val="24"/>
          <w:lang w:val="en-US"/>
        </w:rPr>
        <w:t xml:space="preserve"> </w:t>
      </w:r>
      <w:r w:rsidRPr="00AF0A55">
        <w:rPr>
          <w:rFonts w:ascii="Times New Roman" w:hAnsi="Times New Roman" w:cs="Times New Roman"/>
          <w:sz w:val="24"/>
          <w:szCs w:val="24"/>
        </w:rPr>
        <w:t>Integrasi CSR dengan SDGs, RPJMN, dan indikator pembangunan daerah akan memperkuat relevansi CSR terhadap arah pembangunan nasional</w:t>
      </w:r>
      <w:r w:rsidRPr="00AF0A55">
        <w:rPr>
          <w:rFonts w:ascii="Times New Roman" w:hAnsi="Times New Roman" w:cs="Times New Roman"/>
          <w:sz w:val="24"/>
          <w:szCs w:val="24"/>
          <w:lang w:val="en-US"/>
        </w:rPr>
        <w:t xml:space="preserve"> (United Nations, 2015)</w:t>
      </w:r>
      <w:r w:rsidRPr="00AF0A55">
        <w:rPr>
          <w:rFonts w:ascii="Times New Roman" w:hAnsi="Times New Roman" w:cs="Times New Roman"/>
          <w:sz w:val="24"/>
          <w:szCs w:val="24"/>
        </w:rPr>
        <w:t>. Integrasi ini memastikan bahwa CSR bukan sekadar aktivitas sosial perusahaan, tetapi bagian dari strategi pembangunan berkelanjutan yang sinkron dengan kebutuhan negara dan daerah. Reformasi ini menjawab tujuan penelitian, yakni menciptakan kerangka hukum dan kebijakan publik yang lebih efektif, legitimate, dan berorientasi pada kepentingan masyarakat.</w:t>
      </w:r>
    </w:p>
    <w:p w14:paraId="2C1E0DFE" w14:textId="77777777" w:rsidR="0021239D" w:rsidRPr="00AF0A55" w:rsidRDefault="0021239D" w:rsidP="00AF0A55">
      <w:pPr>
        <w:spacing w:after="0" w:line="360" w:lineRule="auto"/>
        <w:jc w:val="both"/>
        <w:rPr>
          <w:rFonts w:ascii="Times New Roman" w:hAnsi="Times New Roman" w:cs="Times New Roman"/>
          <w:b/>
          <w:bCs/>
          <w:sz w:val="24"/>
          <w:szCs w:val="24"/>
          <w:lang w:val="fi-FI"/>
        </w:rPr>
      </w:pPr>
    </w:p>
    <w:p w14:paraId="180B89DD" w14:textId="77777777" w:rsidR="0021239D" w:rsidRPr="00AF0A55" w:rsidRDefault="006D7456" w:rsidP="00AF0A55">
      <w:pPr>
        <w:numPr>
          <w:ilvl w:val="0"/>
          <w:numId w:val="1"/>
        </w:numPr>
        <w:spacing w:after="0" w:line="360" w:lineRule="auto"/>
        <w:jc w:val="both"/>
        <w:rPr>
          <w:rFonts w:ascii="Times New Roman" w:hAnsi="Times New Roman" w:cs="Times New Roman"/>
          <w:b/>
          <w:bCs/>
          <w:sz w:val="24"/>
          <w:szCs w:val="24"/>
          <w:lang w:val="fi-FI"/>
        </w:rPr>
      </w:pPr>
      <w:r w:rsidRPr="00AF0A55">
        <w:rPr>
          <w:rFonts w:ascii="Times New Roman" w:hAnsi="Times New Roman" w:cs="Times New Roman"/>
          <w:b/>
          <w:bCs/>
          <w:sz w:val="24"/>
          <w:szCs w:val="24"/>
          <w:lang w:val="en-US"/>
        </w:rPr>
        <w:t xml:space="preserve">KESIMPULAN DAN SARAN </w:t>
      </w:r>
    </w:p>
    <w:p w14:paraId="0DB4ACCB"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 xml:space="preserve">Berdasarkan hasil analisis normatif dan kebijakan publik, dapat disimpulkan bahwa kerangka hukum </w:t>
      </w:r>
      <w:r w:rsidRPr="00AF0A55">
        <w:rPr>
          <w:rFonts w:ascii="Times New Roman" w:hAnsi="Times New Roman" w:cs="Times New Roman"/>
          <w:i/>
          <w:iCs/>
          <w:sz w:val="24"/>
          <w:szCs w:val="24"/>
        </w:rPr>
        <w:t xml:space="preserve">Corporate Social Responsibility </w:t>
      </w:r>
      <w:r w:rsidRPr="00AF0A55">
        <w:rPr>
          <w:rFonts w:ascii="Times New Roman" w:hAnsi="Times New Roman" w:cs="Times New Roman"/>
          <w:sz w:val="24"/>
          <w:szCs w:val="24"/>
        </w:rPr>
        <w:t>(CSR) di Indonesia secara formal telah memiliki landasan yuridis yang relatif memadai, namun belum sepenuhnya mampu menjamin efektivitas implementasi CSR sebagai instrumen pembangunan berkelanjutan. Pembatasan kewajiban CSR hanya pada perusahaan yang bergerak di bidang atau berkaitan dengan sumber daya alam menciptakan ketimpangan kewajiban antar sektor industri dan melemahkan prinsip keadilan regulatif. Selain itu, absennya pengaturan sanksi yang tegas dalam Peraturan Pemerintah Nomor 47 Tahun 2012 menyebabkan kewajiban CSR cenderung bersifat deklaratif dan tidak memiliki daya paksa yang memadai.</w:t>
      </w:r>
    </w:p>
    <w:p w14:paraId="6755A27D"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Pada tataran implementatif, penelitian ini menemukan bahwa pelaksanaan CSR masih menghadapi berbagai kelemahan struktural, antara lain pelaporan yang tidak terstandarisasi, rendahnya transparansi pengelolaan dana, dominasi program CSR yang bersifat seremonial, serta minimnya pelibatan masyarakat dalam perencanaan dan evaluasi program. Kondisi tersebut diperparah oleh belum adanya mekanisme audit sosial independen dan lemahnya koordinasi kebijakan antara pemerintah pusat dan daerah, yang tercermin dari pembatalan sejumlah peraturan daerah terkait CSR.</w:t>
      </w:r>
    </w:p>
    <w:p w14:paraId="5B477ED5" w14:textId="77777777" w:rsidR="0021239D" w:rsidRPr="00AF0A55" w:rsidRDefault="006D7456" w:rsidP="00AF0A55">
      <w:pPr>
        <w:spacing w:after="0" w:line="360" w:lineRule="auto"/>
        <w:ind w:firstLineChars="295" w:firstLine="708"/>
        <w:jc w:val="both"/>
        <w:rPr>
          <w:rFonts w:ascii="Times New Roman" w:hAnsi="Times New Roman" w:cs="Times New Roman"/>
          <w:sz w:val="24"/>
          <w:szCs w:val="24"/>
        </w:rPr>
      </w:pPr>
      <w:r w:rsidRPr="00AF0A55">
        <w:rPr>
          <w:rFonts w:ascii="Times New Roman" w:hAnsi="Times New Roman" w:cs="Times New Roman"/>
          <w:sz w:val="24"/>
          <w:szCs w:val="24"/>
        </w:rPr>
        <w:t>Secara keseluruhan, CSR di Indonesia belum berfungsi secara optimal sebagai instrumen kebijakan publik yang mampu menjembatani kepentingan korporasi, negara, dan masyarakat. Oleh karena itu, diperlukan reformasi menyeluruh yang mencakup penguatan kerangka regulasi, perluasan kewajiban CSR ke seluruh sektor usaha, penyusunan standar nasional pelaporan dan pengawasan, penerapan audit sosial independen, serta integrasi CSR dengan agenda pembangunan nasional dan daerah. Reformasi tersebut menjadi prasyarat penting agar CSR tidak lagi sekadar menjadi simbol kepatuhan formal, melainkan bertransformasi menjadi mekanisme akuntabilitas sosial yang efektif, berkeadilan, dan berorientasi pada kepentingan publik.</w:t>
      </w:r>
    </w:p>
    <w:p w14:paraId="4E17DEB3" w14:textId="77777777" w:rsidR="0021239D" w:rsidRPr="00AF0A55" w:rsidRDefault="0021239D" w:rsidP="00AF0A55">
      <w:pPr>
        <w:spacing w:after="0" w:line="360" w:lineRule="auto"/>
        <w:jc w:val="both"/>
        <w:rPr>
          <w:rFonts w:ascii="Times New Roman" w:hAnsi="Times New Roman" w:cs="Times New Roman"/>
          <w:b/>
          <w:bCs/>
          <w:sz w:val="24"/>
          <w:szCs w:val="24"/>
          <w:lang w:val="fi-FI"/>
        </w:rPr>
      </w:pPr>
    </w:p>
    <w:p w14:paraId="04C74FCC" w14:textId="77777777" w:rsidR="0021239D" w:rsidRPr="00AF0A55" w:rsidRDefault="006D7456" w:rsidP="00AF0A55">
      <w:pPr>
        <w:spacing w:after="0" w:line="360" w:lineRule="auto"/>
        <w:jc w:val="both"/>
        <w:rPr>
          <w:rFonts w:ascii="Times New Roman" w:hAnsi="Times New Roman" w:cs="Times New Roman"/>
          <w:sz w:val="24"/>
          <w:szCs w:val="24"/>
        </w:rPr>
      </w:pPr>
      <w:r w:rsidRPr="00AF0A55">
        <w:rPr>
          <w:rFonts w:ascii="Times New Roman" w:hAnsi="Times New Roman" w:cs="Times New Roman"/>
          <w:b/>
          <w:bCs/>
          <w:sz w:val="24"/>
          <w:szCs w:val="24"/>
          <w:lang w:val="fi-FI"/>
        </w:rPr>
        <w:t>DAFTAR PUSTAKA</w:t>
      </w:r>
    </w:p>
    <w:p w14:paraId="4DA257F5"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Arief, B. N. (2011). </w:t>
      </w:r>
      <w:r w:rsidRPr="00AF0A55">
        <w:rPr>
          <w:rFonts w:ascii="Times New Roman" w:eastAsia="Times New Roman" w:hAnsi="Times New Roman" w:cs="Times New Roman"/>
          <w:i/>
          <w:iCs/>
          <w:sz w:val="24"/>
          <w:szCs w:val="24"/>
          <w:lang w:val="en-ID" w:eastAsia="en-ID"/>
        </w:rPr>
        <w:t xml:space="preserve">Bunga </w:t>
      </w:r>
      <w:proofErr w:type="spellStart"/>
      <w:r w:rsidRPr="00AF0A55">
        <w:rPr>
          <w:rFonts w:ascii="Times New Roman" w:eastAsia="Times New Roman" w:hAnsi="Times New Roman" w:cs="Times New Roman"/>
          <w:i/>
          <w:iCs/>
          <w:sz w:val="24"/>
          <w:szCs w:val="24"/>
          <w:lang w:val="en-ID" w:eastAsia="en-ID"/>
        </w:rPr>
        <w:t>rampai</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kebijakan</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hukum</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pidana</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Kencana</w:t>
      </w:r>
      <w:proofErr w:type="spellEnd"/>
      <w:r w:rsidRPr="00AF0A55">
        <w:rPr>
          <w:rFonts w:ascii="Times New Roman" w:eastAsia="Times New Roman" w:hAnsi="Times New Roman" w:cs="Times New Roman"/>
          <w:sz w:val="24"/>
          <w:szCs w:val="24"/>
          <w:lang w:val="en-ID" w:eastAsia="en-ID"/>
        </w:rPr>
        <w:t>.</w:t>
      </w:r>
    </w:p>
    <w:p w14:paraId="68152A0B"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Bowen, H. R. (1953). </w:t>
      </w:r>
      <w:r w:rsidRPr="00AF0A55">
        <w:rPr>
          <w:rFonts w:ascii="Times New Roman" w:eastAsia="Times New Roman" w:hAnsi="Times New Roman" w:cs="Times New Roman"/>
          <w:i/>
          <w:iCs/>
          <w:sz w:val="24"/>
          <w:szCs w:val="24"/>
          <w:lang w:val="en-ID" w:eastAsia="en-ID"/>
        </w:rPr>
        <w:t>Social responsibilities of the businessman</w:t>
      </w:r>
      <w:r w:rsidRPr="00AF0A55">
        <w:rPr>
          <w:rFonts w:ascii="Times New Roman" w:eastAsia="Times New Roman" w:hAnsi="Times New Roman" w:cs="Times New Roman"/>
          <w:sz w:val="24"/>
          <w:szCs w:val="24"/>
          <w:lang w:val="en-ID" w:eastAsia="en-ID"/>
        </w:rPr>
        <w:t>. Harper &amp; Row.</w:t>
      </w:r>
    </w:p>
    <w:p w14:paraId="0EFAD23F"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Carroll, A. B. (1991). The pyramid of corporate social responsibility. </w:t>
      </w:r>
      <w:r w:rsidRPr="00AF0A55">
        <w:rPr>
          <w:rFonts w:ascii="Times New Roman" w:eastAsia="Times New Roman" w:hAnsi="Times New Roman" w:cs="Times New Roman"/>
          <w:i/>
          <w:iCs/>
          <w:sz w:val="24"/>
          <w:szCs w:val="24"/>
          <w:lang w:val="en-ID" w:eastAsia="en-ID"/>
        </w:rPr>
        <w:t>Business Horizons, 34</w:t>
      </w:r>
      <w:r w:rsidRPr="00AF0A55">
        <w:rPr>
          <w:rFonts w:ascii="Times New Roman" w:eastAsia="Times New Roman" w:hAnsi="Times New Roman" w:cs="Times New Roman"/>
          <w:sz w:val="24"/>
          <w:szCs w:val="24"/>
          <w:lang w:val="en-ID" w:eastAsia="en-ID"/>
        </w:rPr>
        <w:t>(4).</w:t>
      </w:r>
    </w:p>
    <w:p w14:paraId="47608417"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Carroll, A. B. (1996). </w:t>
      </w:r>
      <w:r w:rsidRPr="00AF0A55">
        <w:rPr>
          <w:rFonts w:ascii="Times New Roman" w:eastAsia="Times New Roman" w:hAnsi="Times New Roman" w:cs="Times New Roman"/>
          <w:i/>
          <w:iCs/>
          <w:sz w:val="24"/>
          <w:szCs w:val="24"/>
          <w:lang w:val="en-ID" w:eastAsia="en-ID"/>
        </w:rPr>
        <w:t>Business and society: Ethics and stakeholder management</w:t>
      </w:r>
      <w:r w:rsidRPr="00AF0A55">
        <w:rPr>
          <w:rFonts w:ascii="Times New Roman" w:eastAsia="Times New Roman" w:hAnsi="Times New Roman" w:cs="Times New Roman"/>
          <w:sz w:val="24"/>
          <w:szCs w:val="24"/>
          <w:lang w:val="en-ID" w:eastAsia="en-ID"/>
        </w:rPr>
        <w:t>. South-Western.</w:t>
      </w:r>
    </w:p>
    <w:p w14:paraId="5CB851F3"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Daly, K. (2002). Restorative justice: The real story. </w:t>
      </w:r>
      <w:r w:rsidRPr="00AF0A55">
        <w:rPr>
          <w:rFonts w:ascii="Times New Roman" w:eastAsia="Times New Roman" w:hAnsi="Times New Roman" w:cs="Times New Roman"/>
          <w:i/>
          <w:iCs/>
          <w:sz w:val="24"/>
          <w:szCs w:val="24"/>
          <w:lang w:val="en-ID" w:eastAsia="en-ID"/>
        </w:rPr>
        <w:t>Punishment &amp; Society, 4</w:t>
      </w:r>
      <w:r w:rsidRPr="00AF0A55">
        <w:rPr>
          <w:rFonts w:ascii="Times New Roman" w:eastAsia="Times New Roman" w:hAnsi="Times New Roman" w:cs="Times New Roman"/>
          <w:sz w:val="24"/>
          <w:szCs w:val="24"/>
          <w:lang w:val="en-ID" w:eastAsia="en-ID"/>
        </w:rPr>
        <w:t>(1).</w:t>
      </w:r>
    </w:p>
    <w:p w14:paraId="262CD130"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Global Reporting Initiative. (2021). </w:t>
      </w:r>
      <w:r w:rsidRPr="00AF0A55">
        <w:rPr>
          <w:rFonts w:ascii="Times New Roman" w:eastAsia="Times New Roman" w:hAnsi="Times New Roman" w:cs="Times New Roman"/>
          <w:i/>
          <w:iCs/>
          <w:sz w:val="24"/>
          <w:szCs w:val="24"/>
          <w:lang w:val="en-ID" w:eastAsia="en-ID"/>
        </w:rPr>
        <w:t>GRI sustainability reporting standards</w:t>
      </w:r>
      <w:r w:rsidRPr="00AF0A55">
        <w:rPr>
          <w:rFonts w:ascii="Times New Roman" w:eastAsia="Times New Roman" w:hAnsi="Times New Roman" w:cs="Times New Roman"/>
          <w:sz w:val="24"/>
          <w:szCs w:val="24"/>
          <w:lang w:val="en-ID" w:eastAsia="en-ID"/>
        </w:rPr>
        <w:t>.</w:t>
      </w:r>
    </w:p>
    <w:p w14:paraId="2061E639"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Kaelan. (2016). </w:t>
      </w:r>
      <w:r w:rsidRPr="00AF0A55">
        <w:rPr>
          <w:rFonts w:ascii="Times New Roman" w:eastAsia="Times New Roman" w:hAnsi="Times New Roman" w:cs="Times New Roman"/>
          <w:i/>
          <w:iCs/>
          <w:sz w:val="24"/>
          <w:szCs w:val="24"/>
          <w:lang w:val="en-ID" w:eastAsia="en-ID"/>
        </w:rPr>
        <w:t>Pendidikan Pancasila</w:t>
      </w:r>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Paradigma</w:t>
      </w:r>
      <w:proofErr w:type="spellEnd"/>
      <w:r w:rsidRPr="00AF0A55">
        <w:rPr>
          <w:rFonts w:ascii="Times New Roman" w:eastAsia="Times New Roman" w:hAnsi="Times New Roman" w:cs="Times New Roman"/>
          <w:sz w:val="24"/>
          <w:szCs w:val="24"/>
          <w:lang w:val="en-ID" w:eastAsia="en-ID"/>
        </w:rPr>
        <w:t>.</w:t>
      </w:r>
    </w:p>
    <w:p w14:paraId="66C9CCA1"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Kusumaatmadja</w:t>
      </w:r>
      <w:proofErr w:type="spellEnd"/>
      <w:r w:rsidRPr="00AF0A55">
        <w:rPr>
          <w:rFonts w:ascii="Times New Roman" w:eastAsia="Times New Roman" w:hAnsi="Times New Roman" w:cs="Times New Roman"/>
          <w:sz w:val="24"/>
          <w:szCs w:val="24"/>
          <w:lang w:val="en-ID" w:eastAsia="en-ID"/>
        </w:rPr>
        <w:t xml:space="preserve">, M. (2006). </w:t>
      </w:r>
      <w:proofErr w:type="spellStart"/>
      <w:r w:rsidRPr="00AF0A55">
        <w:rPr>
          <w:rFonts w:ascii="Times New Roman" w:eastAsia="Times New Roman" w:hAnsi="Times New Roman" w:cs="Times New Roman"/>
          <w:i/>
          <w:iCs/>
          <w:sz w:val="24"/>
          <w:szCs w:val="24"/>
          <w:lang w:val="en-ID" w:eastAsia="en-ID"/>
        </w:rPr>
        <w:t>Konsep-konsep</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hukum</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dalam</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pembangunan</w:t>
      </w:r>
      <w:proofErr w:type="spellEnd"/>
      <w:r w:rsidRPr="00AF0A55">
        <w:rPr>
          <w:rFonts w:ascii="Times New Roman" w:eastAsia="Times New Roman" w:hAnsi="Times New Roman" w:cs="Times New Roman"/>
          <w:sz w:val="24"/>
          <w:szCs w:val="24"/>
          <w:lang w:val="en-ID" w:eastAsia="en-ID"/>
        </w:rPr>
        <w:t>. Alumni.</w:t>
      </w:r>
    </w:p>
    <w:p w14:paraId="66BC37F8"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Mandasari</w:t>
      </w:r>
      <w:proofErr w:type="spellEnd"/>
      <w:r w:rsidRPr="00AF0A55">
        <w:rPr>
          <w:rFonts w:ascii="Times New Roman" w:eastAsia="Times New Roman" w:hAnsi="Times New Roman" w:cs="Times New Roman"/>
          <w:sz w:val="24"/>
          <w:szCs w:val="24"/>
          <w:lang w:val="en-ID" w:eastAsia="en-ID"/>
        </w:rPr>
        <w:t xml:space="preserve"> Saragih, Y. (2022). CSR </w:t>
      </w:r>
      <w:proofErr w:type="spellStart"/>
      <w:r w:rsidRPr="00AF0A55">
        <w:rPr>
          <w:rFonts w:ascii="Times New Roman" w:eastAsia="Times New Roman" w:hAnsi="Times New Roman" w:cs="Times New Roman"/>
          <w:sz w:val="24"/>
          <w:szCs w:val="24"/>
          <w:lang w:val="en-ID" w:eastAsia="en-ID"/>
        </w:rPr>
        <w:t>sebagai</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instrumen</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kebijakan</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publik</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Jurnal</w:t>
      </w:r>
      <w:proofErr w:type="spellEnd"/>
      <w:r w:rsidRPr="00AF0A55">
        <w:rPr>
          <w:rFonts w:ascii="Times New Roman" w:eastAsia="Times New Roman" w:hAnsi="Times New Roman" w:cs="Times New Roman"/>
          <w:i/>
          <w:iCs/>
          <w:sz w:val="24"/>
          <w:szCs w:val="24"/>
          <w:lang w:val="en-ID" w:eastAsia="en-ID"/>
        </w:rPr>
        <w:t xml:space="preserve"> Hukum dan Pembangunan, 52</w:t>
      </w:r>
      <w:r w:rsidRPr="00AF0A55">
        <w:rPr>
          <w:rFonts w:ascii="Times New Roman" w:eastAsia="Times New Roman" w:hAnsi="Times New Roman" w:cs="Times New Roman"/>
          <w:sz w:val="24"/>
          <w:szCs w:val="24"/>
          <w:lang w:val="en-ID" w:eastAsia="en-ID"/>
        </w:rPr>
        <w:t>(2).</w:t>
      </w:r>
    </w:p>
    <w:p w14:paraId="5DBC0C1E"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Marzuki, P. M. (2017). </w:t>
      </w:r>
      <w:proofErr w:type="spellStart"/>
      <w:r w:rsidRPr="00AF0A55">
        <w:rPr>
          <w:rFonts w:ascii="Times New Roman" w:eastAsia="Times New Roman" w:hAnsi="Times New Roman" w:cs="Times New Roman"/>
          <w:i/>
          <w:iCs/>
          <w:sz w:val="24"/>
          <w:szCs w:val="24"/>
          <w:lang w:val="en-ID" w:eastAsia="en-ID"/>
        </w:rPr>
        <w:t>Penelitian</w:t>
      </w:r>
      <w:proofErr w:type="spellEnd"/>
      <w:r w:rsidRPr="00AF0A55">
        <w:rPr>
          <w:rFonts w:ascii="Times New Roman" w:eastAsia="Times New Roman" w:hAnsi="Times New Roman" w:cs="Times New Roman"/>
          <w:i/>
          <w:iCs/>
          <w:sz w:val="24"/>
          <w:szCs w:val="24"/>
          <w:lang w:val="en-ID" w:eastAsia="en-ID"/>
        </w:rPr>
        <w:t xml:space="preserve"> </w:t>
      </w:r>
      <w:proofErr w:type="spellStart"/>
      <w:r w:rsidRPr="00AF0A55">
        <w:rPr>
          <w:rFonts w:ascii="Times New Roman" w:eastAsia="Times New Roman" w:hAnsi="Times New Roman" w:cs="Times New Roman"/>
          <w:i/>
          <w:iCs/>
          <w:sz w:val="24"/>
          <w:szCs w:val="24"/>
          <w:lang w:val="en-ID" w:eastAsia="en-ID"/>
        </w:rPr>
        <w:t>hukum</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Kencana</w:t>
      </w:r>
      <w:proofErr w:type="spellEnd"/>
      <w:r w:rsidRPr="00AF0A55">
        <w:rPr>
          <w:rFonts w:ascii="Times New Roman" w:eastAsia="Times New Roman" w:hAnsi="Times New Roman" w:cs="Times New Roman"/>
          <w:sz w:val="24"/>
          <w:szCs w:val="24"/>
          <w:lang w:val="en-ID" w:eastAsia="en-ID"/>
        </w:rPr>
        <w:t>.</w:t>
      </w:r>
    </w:p>
    <w:p w14:paraId="1229D1BD"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Organisation for Economic Co-operation and Development (OECD). (2011). </w:t>
      </w:r>
      <w:r w:rsidRPr="00AF0A55">
        <w:rPr>
          <w:rFonts w:ascii="Times New Roman" w:eastAsia="Times New Roman" w:hAnsi="Times New Roman" w:cs="Times New Roman"/>
          <w:i/>
          <w:iCs/>
          <w:sz w:val="24"/>
          <w:szCs w:val="24"/>
          <w:lang w:val="en-ID" w:eastAsia="en-ID"/>
        </w:rPr>
        <w:t>Guidelines for multinational enterprises</w:t>
      </w:r>
      <w:r w:rsidRPr="00AF0A55">
        <w:rPr>
          <w:rFonts w:ascii="Times New Roman" w:eastAsia="Times New Roman" w:hAnsi="Times New Roman" w:cs="Times New Roman"/>
          <w:sz w:val="24"/>
          <w:szCs w:val="24"/>
          <w:lang w:val="en-ID" w:eastAsia="en-ID"/>
        </w:rPr>
        <w:t>.</w:t>
      </w:r>
    </w:p>
    <w:p w14:paraId="695FF648"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Peraturan</w:t>
      </w:r>
      <w:proofErr w:type="spellEnd"/>
      <w:r w:rsidRPr="00AF0A55">
        <w:rPr>
          <w:rFonts w:ascii="Times New Roman" w:eastAsia="Times New Roman" w:hAnsi="Times New Roman" w:cs="Times New Roman"/>
          <w:sz w:val="24"/>
          <w:szCs w:val="24"/>
          <w:lang w:val="en-ID" w:eastAsia="en-ID"/>
        </w:rPr>
        <w:t xml:space="preserve"> Menteri Dalam Negeri Republik Indonesia </w:t>
      </w:r>
      <w:proofErr w:type="spellStart"/>
      <w:r w:rsidRPr="00AF0A55">
        <w:rPr>
          <w:rFonts w:ascii="Times New Roman" w:eastAsia="Times New Roman" w:hAnsi="Times New Roman" w:cs="Times New Roman"/>
          <w:sz w:val="24"/>
          <w:szCs w:val="24"/>
          <w:lang w:val="en-ID" w:eastAsia="en-ID"/>
        </w:rPr>
        <w:t>Nomor</w:t>
      </w:r>
      <w:proofErr w:type="spellEnd"/>
      <w:r w:rsidRPr="00AF0A55">
        <w:rPr>
          <w:rFonts w:ascii="Times New Roman" w:eastAsia="Times New Roman" w:hAnsi="Times New Roman" w:cs="Times New Roman"/>
          <w:sz w:val="24"/>
          <w:szCs w:val="24"/>
          <w:lang w:val="en-ID" w:eastAsia="en-ID"/>
        </w:rPr>
        <w:t xml:space="preserve"> 80 </w:t>
      </w:r>
      <w:proofErr w:type="spellStart"/>
      <w:r w:rsidRPr="00AF0A55">
        <w:rPr>
          <w:rFonts w:ascii="Times New Roman" w:eastAsia="Times New Roman" w:hAnsi="Times New Roman" w:cs="Times New Roman"/>
          <w:sz w:val="24"/>
          <w:szCs w:val="24"/>
          <w:lang w:val="en-ID" w:eastAsia="en-ID"/>
        </w:rPr>
        <w:t>Tahun</w:t>
      </w:r>
      <w:proofErr w:type="spellEnd"/>
      <w:r w:rsidRPr="00AF0A55">
        <w:rPr>
          <w:rFonts w:ascii="Times New Roman" w:eastAsia="Times New Roman" w:hAnsi="Times New Roman" w:cs="Times New Roman"/>
          <w:sz w:val="24"/>
          <w:szCs w:val="24"/>
          <w:lang w:val="en-ID" w:eastAsia="en-ID"/>
        </w:rPr>
        <w:t xml:space="preserve"> 2015 </w:t>
      </w:r>
      <w:proofErr w:type="spellStart"/>
      <w:r w:rsidRPr="00AF0A55">
        <w:rPr>
          <w:rFonts w:ascii="Times New Roman" w:eastAsia="Times New Roman" w:hAnsi="Times New Roman" w:cs="Times New Roman"/>
          <w:sz w:val="24"/>
          <w:szCs w:val="24"/>
          <w:lang w:val="en-ID" w:eastAsia="en-ID"/>
        </w:rPr>
        <w:t>tentang</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Pembentukan</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Produk</w:t>
      </w:r>
      <w:proofErr w:type="spellEnd"/>
      <w:r w:rsidRPr="00AF0A55">
        <w:rPr>
          <w:rFonts w:ascii="Times New Roman" w:eastAsia="Times New Roman" w:hAnsi="Times New Roman" w:cs="Times New Roman"/>
          <w:sz w:val="24"/>
          <w:szCs w:val="24"/>
          <w:lang w:val="en-ID" w:eastAsia="en-ID"/>
        </w:rPr>
        <w:t xml:space="preserve"> Hukum Daerah.</w:t>
      </w:r>
    </w:p>
    <w:p w14:paraId="217811F5"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Peraturan</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Pemerintah</w:t>
      </w:r>
      <w:proofErr w:type="spellEnd"/>
      <w:r w:rsidRPr="00AF0A55">
        <w:rPr>
          <w:rFonts w:ascii="Times New Roman" w:eastAsia="Times New Roman" w:hAnsi="Times New Roman" w:cs="Times New Roman"/>
          <w:sz w:val="24"/>
          <w:szCs w:val="24"/>
          <w:lang w:val="en-ID" w:eastAsia="en-ID"/>
        </w:rPr>
        <w:t xml:space="preserve"> Republik Indonesia </w:t>
      </w:r>
      <w:proofErr w:type="spellStart"/>
      <w:r w:rsidRPr="00AF0A55">
        <w:rPr>
          <w:rFonts w:ascii="Times New Roman" w:eastAsia="Times New Roman" w:hAnsi="Times New Roman" w:cs="Times New Roman"/>
          <w:sz w:val="24"/>
          <w:szCs w:val="24"/>
          <w:lang w:val="en-ID" w:eastAsia="en-ID"/>
        </w:rPr>
        <w:t>Nomor</w:t>
      </w:r>
      <w:proofErr w:type="spellEnd"/>
      <w:r w:rsidRPr="00AF0A55">
        <w:rPr>
          <w:rFonts w:ascii="Times New Roman" w:eastAsia="Times New Roman" w:hAnsi="Times New Roman" w:cs="Times New Roman"/>
          <w:sz w:val="24"/>
          <w:szCs w:val="24"/>
          <w:lang w:val="en-ID" w:eastAsia="en-ID"/>
        </w:rPr>
        <w:t xml:space="preserve"> 47 </w:t>
      </w:r>
      <w:proofErr w:type="spellStart"/>
      <w:r w:rsidRPr="00AF0A55">
        <w:rPr>
          <w:rFonts w:ascii="Times New Roman" w:eastAsia="Times New Roman" w:hAnsi="Times New Roman" w:cs="Times New Roman"/>
          <w:sz w:val="24"/>
          <w:szCs w:val="24"/>
          <w:lang w:val="en-ID" w:eastAsia="en-ID"/>
        </w:rPr>
        <w:t>Tahun</w:t>
      </w:r>
      <w:proofErr w:type="spellEnd"/>
      <w:r w:rsidRPr="00AF0A55">
        <w:rPr>
          <w:rFonts w:ascii="Times New Roman" w:eastAsia="Times New Roman" w:hAnsi="Times New Roman" w:cs="Times New Roman"/>
          <w:sz w:val="24"/>
          <w:szCs w:val="24"/>
          <w:lang w:val="en-ID" w:eastAsia="en-ID"/>
        </w:rPr>
        <w:t xml:space="preserve"> 2012 </w:t>
      </w:r>
      <w:proofErr w:type="spellStart"/>
      <w:r w:rsidRPr="00AF0A55">
        <w:rPr>
          <w:rFonts w:ascii="Times New Roman" w:eastAsia="Times New Roman" w:hAnsi="Times New Roman" w:cs="Times New Roman"/>
          <w:sz w:val="24"/>
          <w:szCs w:val="24"/>
          <w:lang w:val="en-ID" w:eastAsia="en-ID"/>
        </w:rPr>
        <w:t>tentang</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Tanggung</w:t>
      </w:r>
      <w:proofErr w:type="spellEnd"/>
      <w:r w:rsidRPr="00AF0A55">
        <w:rPr>
          <w:rFonts w:ascii="Times New Roman" w:eastAsia="Times New Roman" w:hAnsi="Times New Roman" w:cs="Times New Roman"/>
          <w:sz w:val="24"/>
          <w:szCs w:val="24"/>
          <w:lang w:val="en-ID" w:eastAsia="en-ID"/>
        </w:rPr>
        <w:t xml:space="preserve"> Jawab Sosial dan </w:t>
      </w:r>
      <w:proofErr w:type="spellStart"/>
      <w:r w:rsidRPr="00AF0A55">
        <w:rPr>
          <w:rFonts w:ascii="Times New Roman" w:eastAsia="Times New Roman" w:hAnsi="Times New Roman" w:cs="Times New Roman"/>
          <w:sz w:val="24"/>
          <w:szCs w:val="24"/>
          <w:lang w:val="en-ID" w:eastAsia="en-ID"/>
        </w:rPr>
        <w:t>Lingkungan</w:t>
      </w:r>
      <w:proofErr w:type="spellEnd"/>
      <w:r w:rsidRPr="00AF0A55">
        <w:rPr>
          <w:rFonts w:ascii="Times New Roman" w:eastAsia="Times New Roman" w:hAnsi="Times New Roman" w:cs="Times New Roman"/>
          <w:sz w:val="24"/>
          <w:szCs w:val="24"/>
          <w:lang w:val="en-ID" w:eastAsia="en-ID"/>
        </w:rPr>
        <w:t xml:space="preserve"> Perseroan Terbatas.</w:t>
      </w:r>
    </w:p>
    <w:p w14:paraId="1655A9C4"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Rahardjo, S. (2009). </w:t>
      </w:r>
      <w:r w:rsidRPr="00AF0A55">
        <w:rPr>
          <w:rFonts w:ascii="Times New Roman" w:eastAsia="Times New Roman" w:hAnsi="Times New Roman" w:cs="Times New Roman"/>
          <w:i/>
          <w:iCs/>
          <w:sz w:val="24"/>
          <w:szCs w:val="24"/>
          <w:lang w:val="en-ID" w:eastAsia="en-ID"/>
        </w:rPr>
        <w:t xml:space="preserve">Hukum </w:t>
      </w:r>
      <w:proofErr w:type="spellStart"/>
      <w:r w:rsidRPr="00AF0A55">
        <w:rPr>
          <w:rFonts w:ascii="Times New Roman" w:eastAsia="Times New Roman" w:hAnsi="Times New Roman" w:cs="Times New Roman"/>
          <w:i/>
          <w:iCs/>
          <w:sz w:val="24"/>
          <w:szCs w:val="24"/>
          <w:lang w:val="en-ID" w:eastAsia="en-ID"/>
        </w:rPr>
        <w:t>progresif</w:t>
      </w:r>
      <w:proofErr w:type="spellEnd"/>
      <w:r w:rsidRPr="00AF0A55">
        <w:rPr>
          <w:rFonts w:ascii="Times New Roman" w:eastAsia="Times New Roman" w:hAnsi="Times New Roman" w:cs="Times New Roman"/>
          <w:i/>
          <w:iCs/>
          <w:sz w:val="24"/>
          <w:szCs w:val="24"/>
          <w:lang w:val="en-ID" w:eastAsia="en-ID"/>
        </w:rPr>
        <w:t xml:space="preserve">: Hukum yang </w:t>
      </w:r>
      <w:proofErr w:type="spellStart"/>
      <w:r w:rsidRPr="00AF0A55">
        <w:rPr>
          <w:rFonts w:ascii="Times New Roman" w:eastAsia="Times New Roman" w:hAnsi="Times New Roman" w:cs="Times New Roman"/>
          <w:i/>
          <w:iCs/>
          <w:sz w:val="24"/>
          <w:szCs w:val="24"/>
          <w:lang w:val="en-ID" w:eastAsia="en-ID"/>
        </w:rPr>
        <w:t>membebaskan</w:t>
      </w:r>
      <w:proofErr w:type="spellEnd"/>
      <w:r w:rsidRPr="00AF0A55">
        <w:rPr>
          <w:rFonts w:ascii="Times New Roman" w:eastAsia="Times New Roman" w:hAnsi="Times New Roman" w:cs="Times New Roman"/>
          <w:sz w:val="24"/>
          <w:szCs w:val="24"/>
          <w:lang w:val="en-ID" w:eastAsia="en-ID"/>
        </w:rPr>
        <w:t>. Kompas.</w:t>
      </w:r>
    </w:p>
    <w:p w14:paraId="6F5E7BCC"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Ruggie</w:t>
      </w:r>
      <w:proofErr w:type="spellEnd"/>
      <w:r w:rsidRPr="00AF0A55">
        <w:rPr>
          <w:rFonts w:ascii="Times New Roman" w:eastAsia="Times New Roman" w:hAnsi="Times New Roman" w:cs="Times New Roman"/>
          <w:sz w:val="24"/>
          <w:szCs w:val="24"/>
          <w:lang w:val="en-ID" w:eastAsia="en-ID"/>
        </w:rPr>
        <w:t xml:space="preserve">, J. (2011). Business and human rights. </w:t>
      </w:r>
      <w:r w:rsidRPr="00AF0A55">
        <w:rPr>
          <w:rFonts w:ascii="Times New Roman" w:eastAsia="Times New Roman" w:hAnsi="Times New Roman" w:cs="Times New Roman"/>
          <w:i/>
          <w:iCs/>
          <w:sz w:val="24"/>
          <w:szCs w:val="24"/>
          <w:lang w:val="en-ID" w:eastAsia="en-ID"/>
        </w:rPr>
        <w:t>Journal of International Law, 32</w:t>
      </w:r>
      <w:r w:rsidRPr="00AF0A55">
        <w:rPr>
          <w:rFonts w:ascii="Times New Roman" w:eastAsia="Times New Roman" w:hAnsi="Times New Roman" w:cs="Times New Roman"/>
          <w:sz w:val="24"/>
          <w:szCs w:val="24"/>
          <w:lang w:val="en-ID" w:eastAsia="en-ID"/>
        </w:rPr>
        <w:t>.</w:t>
      </w:r>
    </w:p>
    <w:p w14:paraId="16C038C6"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Undang-Undang</w:t>
      </w:r>
      <w:proofErr w:type="spellEnd"/>
      <w:r w:rsidRPr="00AF0A55">
        <w:rPr>
          <w:rFonts w:ascii="Times New Roman" w:eastAsia="Times New Roman" w:hAnsi="Times New Roman" w:cs="Times New Roman"/>
          <w:sz w:val="24"/>
          <w:szCs w:val="24"/>
          <w:lang w:val="en-ID" w:eastAsia="en-ID"/>
        </w:rPr>
        <w:t xml:space="preserve"> Republik Indonesia </w:t>
      </w:r>
      <w:proofErr w:type="spellStart"/>
      <w:r w:rsidRPr="00AF0A55">
        <w:rPr>
          <w:rFonts w:ascii="Times New Roman" w:eastAsia="Times New Roman" w:hAnsi="Times New Roman" w:cs="Times New Roman"/>
          <w:sz w:val="24"/>
          <w:szCs w:val="24"/>
          <w:lang w:val="en-ID" w:eastAsia="en-ID"/>
        </w:rPr>
        <w:t>Nomor</w:t>
      </w:r>
      <w:proofErr w:type="spellEnd"/>
      <w:r w:rsidRPr="00AF0A55">
        <w:rPr>
          <w:rFonts w:ascii="Times New Roman" w:eastAsia="Times New Roman" w:hAnsi="Times New Roman" w:cs="Times New Roman"/>
          <w:sz w:val="24"/>
          <w:szCs w:val="24"/>
          <w:lang w:val="en-ID" w:eastAsia="en-ID"/>
        </w:rPr>
        <w:t xml:space="preserve"> 25 </w:t>
      </w:r>
      <w:proofErr w:type="spellStart"/>
      <w:r w:rsidRPr="00AF0A55">
        <w:rPr>
          <w:rFonts w:ascii="Times New Roman" w:eastAsia="Times New Roman" w:hAnsi="Times New Roman" w:cs="Times New Roman"/>
          <w:sz w:val="24"/>
          <w:szCs w:val="24"/>
          <w:lang w:val="en-ID" w:eastAsia="en-ID"/>
        </w:rPr>
        <w:t>Tahun</w:t>
      </w:r>
      <w:proofErr w:type="spellEnd"/>
      <w:r w:rsidRPr="00AF0A55">
        <w:rPr>
          <w:rFonts w:ascii="Times New Roman" w:eastAsia="Times New Roman" w:hAnsi="Times New Roman" w:cs="Times New Roman"/>
          <w:sz w:val="24"/>
          <w:szCs w:val="24"/>
          <w:lang w:val="en-ID" w:eastAsia="en-ID"/>
        </w:rPr>
        <w:t xml:space="preserve"> 2007 </w:t>
      </w:r>
      <w:proofErr w:type="spellStart"/>
      <w:r w:rsidRPr="00AF0A55">
        <w:rPr>
          <w:rFonts w:ascii="Times New Roman" w:eastAsia="Times New Roman" w:hAnsi="Times New Roman" w:cs="Times New Roman"/>
          <w:sz w:val="24"/>
          <w:szCs w:val="24"/>
          <w:lang w:val="en-ID" w:eastAsia="en-ID"/>
        </w:rPr>
        <w:t>tentang</w:t>
      </w:r>
      <w:proofErr w:type="spellEnd"/>
      <w:r w:rsidRPr="00AF0A55">
        <w:rPr>
          <w:rFonts w:ascii="Times New Roman" w:eastAsia="Times New Roman" w:hAnsi="Times New Roman" w:cs="Times New Roman"/>
          <w:sz w:val="24"/>
          <w:szCs w:val="24"/>
          <w:lang w:val="en-ID" w:eastAsia="en-ID"/>
        </w:rPr>
        <w:t xml:space="preserve"> </w:t>
      </w:r>
      <w:proofErr w:type="spellStart"/>
      <w:r w:rsidRPr="00AF0A55">
        <w:rPr>
          <w:rFonts w:ascii="Times New Roman" w:eastAsia="Times New Roman" w:hAnsi="Times New Roman" w:cs="Times New Roman"/>
          <w:sz w:val="24"/>
          <w:szCs w:val="24"/>
          <w:lang w:val="en-ID" w:eastAsia="en-ID"/>
        </w:rPr>
        <w:t>Penanaman</w:t>
      </w:r>
      <w:proofErr w:type="spellEnd"/>
      <w:r w:rsidRPr="00AF0A55">
        <w:rPr>
          <w:rFonts w:ascii="Times New Roman" w:eastAsia="Times New Roman" w:hAnsi="Times New Roman" w:cs="Times New Roman"/>
          <w:sz w:val="24"/>
          <w:szCs w:val="24"/>
          <w:lang w:val="en-ID" w:eastAsia="en-ID"/>
        </w:rPr>
        <w:t xml:space="preserve"> Modal.</w:t>
      </w:r>
    </w:p>
    <w:p w14:paraId="674EBA8D"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proofErr w:type="spellStart"/>
      <w:r w:rsidRPr="00AF0A55">
        <w:rPr>
          <w:rFonts w:ascii="Times New Roman" w:eastAsia="Times New Roman" w:hAnsi="Times New Roman" w:cs="Times New Roman"/>
          <w:sz w:val="24"/>
          <w:szCs w:val="24"/>
          <w:lang w:val="en-ID" w:eastAsia="en-ID"/>
        </w:rPr>
        <w:t>Undang-Undang</w:t>
      </w:r>
      <w:proofErr w:type="spellEnd"/>
      <w:r w:rsidRPr="00AF0A55">
        <w:rPr>
          <w:rFonts w:ascii="Times New Roman" w:eastAsia="Times New Roman" w:hAnsi="Times New Roman" w:cs="Times New Roman"/>
          <w:sz w:val="24"/>
          <w:szCs w:val="24"/>
          <w:lang w:val="en-ID" w:eastAsia="en-ID"/>
        </w:rPr>
        <w:t xml:space="preserve"> Republik Indonesia </w:t>
      </w:r>
      <w:proofErr w:type="spellStart"/>
      <w:r w:rsidRPr="00AF0A55">
        <w:rPr>
          <w:rFonts w:ascii="Times New Roman" w:eastAsia="Times New Roman" w:hAnsi="Times New Roman" w:cs="Times New Roman"/>
          <w:sz w:val="24"/>
          <w:szCs w:val="24"/>
          <w:lang w:val="en-ID" w:eastAsia="en-ID"/>
        </w:rPr>
        <w:t>Nomor</w:t>
      </w:r>
      <w:proofErr w:type="spellEnd"/>
      <w:r w:rsidRPr="00AF0A55">
        <w:rPr>
          <w:rFonts w:ascii="Times New Roman" w:eastAsia="Times New Roman" w:hAnsi="Times New Roman" w:cs="Times New Roman"/>
          <w:sz w:val="24"/>
          <w:szCs w:val="24"/>
          <w:lang w:val="en-ID" w:eastAsia="en-ID"/>
        </w:rPr>
        <w:t xml:space="preserve"> 40 </w:t>
      </w:r>
      <w:proofErr w:type="spellStart"/>
      <w:r w:rsidRPr="00AF0A55">
        <w:rPr>
          <w:rFonts w:ascii="Times New Roman" w:eastAsia="Times New Roman" w:hAnsi="Times New Roman" w:cs="Times New Roman"/>
          <w:sz w:val="24"/>
          <w:szCs w:val="24"/>
          <w:lang w:val="en-ID" w:eastAsia="en-ID"/>
        </w:rPr>
        <w:t>Tahun</w:t>
      </w:r>
      <w:proofErr w:type="spellEnd"/>
      <w:r w:rsidRPr="00AF0A55">
        <w:rPr>
          <w:rFonts w:ascii="Times New Roman" w:eastAsia="Times New Roman" w:hAnsi="Times New Roman" w:cs="Times New Roman"/>
          <w:sz w:val="24"/>
          <w:szCs w:val="24"/>
          <w:lang w:val="en-ID" w:eastAsia="en-ID"/>
        </w:rPr>
        <w:t xml:space="preserve"> 2007 </w:t>
      </w:r>
      <w:proofErr w:type="spellStart"/>
      <w:r w:rsidRPr="00AF0A55">
        <w:rPr>
          <w:rFonts w:ascii="Times New Roman" w:eastAsia="Times New Roman" w:hAnsi="Times New Roman" w:cs="Times New Roman"/>
          <w:sz w:val="24"/>
          <w:szCs w:val="24"/>
          <w:lang w:val="en-ID" w:eastAsia="en-ID"/>
        </w:rPr>
        <w:t>tentang</w:t>
      </w:r>
      <w:proofErr w:type="spellEnd"/>
      <w:r w:rsidRPr="00AF0A55">
        <w:rPr>
          <w:rFonts w:ascii="Times New Roman" w:eastAsia="Times New Roman" w:hAnsi="Times New Roman" w:cs="Times New Roman"/>
          <w:sz w:val="24"/>
          <w:szCs w:val="24"/>
          <w:lang w:val="en-ID" w:eastAsia="en-ID"/>
        </w:rPr>
        <w:t xml:space="preserve"> Perseroan </w:t>
      </w:r>
      <w:proofErr w:type="spellStart"/>
      <w:r w:rsidRPr="00AF0A55">
        <w:rPr>
          <w:rFonts w:ascii="Times New Roman" w:eastAsia="Times New Roman" w:hAnsi="Times New Roman" w:cs="Times New Roman"/>
          <w:sz w:val="24"/>
          <w:szCs w:val="24"/>
          <w:lang w:val="en-ID" w:eastAsia="en-ID"/>
        </w:rPr>
        <w:t>Terbatas</w:t>
      </w:r>
      <w:proofErr w:type="spellEnd"/>
      <w:r w:rsidRPr="00AF0A55">
        <w:rPr>
          <w:rFonts w:ascii="Times New Roman" w:eastAsia="Times New Roman" w:hAnsi="Times New Roman" w:cs="Times New Roman"/>
          <w:sz w:val="24"/>
          <w:szCs w:val="24"/>
          <w:lang w:val="en-ID" w:eastAsia="en-ID"/>
        </w:rPr>
        <w:t>.</w:t>
      </w:r>
    </w:p>
    <w:p w14:paraId="52579D05"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United Nations. (1948). </w:t>
      </w:r>
      <w:r w:rsidRPr="00AF0A55">
        <w:rPr>
          <w:rFonts w:ascii="Times New Roman" w:eastAsia="Times New Roman" w:hAnsi="Times New Roman" w:cs="Times New Roman"/>
          <w:i/>
          <w:iCs/>
          <w:sz w:val="24"/>
          <w:szCs w:val="24"/>
          <w:lang w:val="en-ID" w:eastAsia="en-ID"/>
        </w:rPr>
        <w:t>Universal declaration of human rights</w:t>
      </w:r>
      <w:r w:rsidRPr="00AF0A55">
        <w:rPr>
          <w:rFonts w:ascii="Times New Roman" w:eastAsia="Times New Roman" w:hAnsi="Times New Roman" w:cs="Times New Roman"/>
          <w:sz w:val="24"/>
          <w:szCs w:val="24"/>
          <w:lang w:val="en-ID" w:eastAsia="en-ID"/>
        </w:rPr>
        <w:t>.</w:t>
      </w:r>
    </w:p>
    <w:p w14:paraId="062FB4F1"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United Nations. (2015). </w:t>
      </w:r>
      <w:r w:rsidRPr="00AF0A55">
        <w:rPr>
          <w:rFonts w:ascii="Times New Roman" w:eastAsia="Times New Roman" w:hAnsi="Times New Roman" w:cs="Times New Roman"/>
          <w:i/>
          <w:iCs/>
          <w:sz w:val="24"/>
          <w:szCs w:val="24"/>
          <w:lang w:val="en-ID" w:eastAsia="en-ID"/>
        </w:rPr>
        <w:t>Transforming our world: The 2030 agenda for sustainable development</w:t>
      </w:r>
      <w:r w:rsidRPr="00AF0A55">
        <w:rPr>
          <w:rFonts w:ascii="Times New Roman" w:eastAsia="Times New Roman" w:hAnsi="Times New Roman" w:cs="Times New Roman"/>
          <w:sz w:val="24"/>
          <w:szCs w:val="24"/>
          <w:lang w:val="en-ID" w:eastAsia="en-ID"/>
        </w:rPr>
        <w:t>.</w:t>
      </w:r>
    </w:p>
    <w:p w14:paraId="6F3D3925"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Vogel, D. (2002). The market for virtue. </w:t>
      </w:r>
      <w:r w:rsidRPr="00AF0A55">
        <w:rPr>
          <w:rFonts w:ascii="Times New Roman" w:eastAsia="Times New Roman" w:hAnsi="Times New Roman" w:cs="Times New Roman"/>
          <w:i/>
          <w:iCs/>
          <w:sz w:val="24"/>
          <w:szCs w:val="24"/>
          <w:lang w:val="en-ID" w:eastAsia="en-ID"/>
        </w:rPr>
        <w:t>Brookings Review, 20</w:t>
      </w:r>
      <w:r w:rsidRPr="00AF0A55">
        <w:rPr>
          <w:rFonts w:ascii="Times New Roman" w:eastAsia="Times New Roman" w:hAnsi="Times New Roman" w:cs="Times New Roman"/>
          <w:sz w:val="24"/>
          <w:szCs w:val="24"/>
          <w:lang w:val="en-ID" w:eastAsia="en-ID"/>
        </w:rPr>
        <w:t>(3).</w:t>
      </w:r>
    </w:p>
    <w:p w14:paraId="1AC6381B" w14:textId="77777777" w:rsidR="00AF0A55" w:rsidRPr="00AF0A55" w:rsidRDefault="00AF0A55" w:rsidP="00AF0A55">
      <w:pPr>
        <w:spacing w:after="120" w:line="240" w:lineRule="auto"/>
        <w:ind w:left="851" w:hanging="851"/>
        <w:jc w:val="both"/>
        <w:rPr>
          <w:rFonts w:ascii="Times New Roman" w:eastAsia="Times New Roman" w:hAnsi="Times New Roman" w:cs="Times New Roman"/>
          <w:sz w:val="24"/>
          <w:szCs w:val="24"/>
          <w:lang w:val="en-ID" w:eastAsia="en-ID"/>
        </w:rPr>
      </w:pPr>
      <w:r w:rsidRPr="00AF0A55">
        <w:rPr>
          <w:rFonts w:ascii="Times New Roman" w:eastAsia="Times New Roman" w:hAnsi="Times New Roman" w:cs="Times New Roman"/>
          <w:sz w:val="24"/>
          <w:szCs w:val="24"/>
          <w:lang w:val="en-ID" w:eastAsia="en-ID"/>
        </w:rPr>
        <w:t xml:space="preserve">World Business Council for Sustainable Development. (2000). </w:t>
      </w:r>
      <w:r w:rsidRPr="00AF0A55">
        <w:rPr>
          <w:rFonts w:ascii="Times New Roman" w:eastAsia="Times New Roman" w:hAnsi="Times New Roman" w:cs="Times New Roman"/>
          <w:i/>
          <w:iCs/>
          <w:sz w:val="24"/>
          <w:szCs w:val="24"/>
          <w:lang w:val="en-ID" w:eastAsia="en-ID"/>
        </w:rPr>
        <w:t>CSR: Making good business sense</w:t>
      </w:r>
      <w:r w:rsidRPr="00AF0A55">
        <w:rPr>
          <w:rFonts w:ascii="Times New Roman" w:eastAsia="Times New Roman" w:hAnsi="Times New Roman" w:cs="Times New Roman"/>
          <w:sz w:val="24"/>
          <w:szCs w:val="24"/>
          <w:lang w:val="en-ID" w:eastAsia="en-ID"/>
        </w:rPr>
        <w:t>.</w:t>
      </w:r>
    </w:p>
    <w:sectPr w:rsidR="00AF0A55" w:rsidRPr="00AF0A55" w:rsidSect="00AF0A5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0" w:footer="0" w:gutter="0"/>
      <w:pgNumType w:start="71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E138" w14:textId="77777777" w:rsidR="00737ED6" w:rsidRDefault="00737ED6">
      <w:pPr>
        <w:spacing w:line="240" w:lineRule="auto"/>
      </w:pPr>
      <w:r>
        <w:separator/>
      </w:r>
    </w:p>
  </w:endnote>
  <w:endnote w:type="continuationSeparator" w:id="0">
    <w:p w14:paraId="67F0BD00" w14:textId="77777777" w:rsidR="00737ED6" w:rsidRDefault="00737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3BEC" w14:textId="77777777" w:rsidR="00AF0A55" w:rsidRDefault="00AF0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DF9B" w14:textId="77777777" w:rsidR="00AF0A55" w:rsidRPr="00D7666D" w:rsidRDefault="00AF0A55" w:rsidP="00AF0A55">
    <w:pPr>
      <w:tabs>
        <w:tab w:val="left" w:pos="709"/>
        <w:tab w:val="right" w:pos="9026"/>
      </w:tabs>
      <w:rPr>
        <w:rFonts w:ascii="Tahoma" w:eastAsia="Calibri" w:hAnsi="Tahoma" w:cs="Tahoma"/>
        <w:sz w:val="20"/>
        <w:szCs w:val="20"/>
        <w:shd w:val="clear" w:color="auto" w:fill="FFFFFF"/>
        <w:lang w:val="id-ID" w:eastAsia="zh-CN"/>
      </w:rPr>
    </w:pPr>
    <w:r w:rsidRPr="009C7910">
      <w:rPr>
        <w:rFonts w:ascii="Tahoma" w:eastAsia="Calibri" w:hAnsi="Tahoma" w:cs="Tahoma"/>
        <w:noProof/>
        <w:sz w:val="20"/>
        <w:szCs w:val="20"/>
      </w:rPr>
      <mc:AlternateContent>
        <mc:Choice Requires="wps">
          <w:drawing>
            <wp:anchor distT="0" distB="0" distL="114288" distR="114288" simplePos="0" relativeHeight="251662336" behindDoc="0" locked="0" layoutInCell="1" allowOverlap="1" wp14:anchorId="453934D0" wp14:editId="3EABF325">
              <wp:simplePos x="0" y="0"/>
              <wp:positionH relativeFrom="column">
                <wp:posOffset>232410</wp:posOffset>
              </wp:positionH>
              <wp:positionV relativeFrom="paragraph">
                <wp:posOffset>-103505</wp:posOffset>
              </wp:positionV>
              <wp:extent cx="0" cy="360045"/>
              <wp:effectExtent l="0" t="0" r="38100" b="20955"/>
              <wp:wrapNone/>
              <wp:docPr id="82614137" name="Straight Arrow Connector 82614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D47F6DE" id="_x0000_t32" coordsize="21600,21600" o:spt="32" o:oned="t" path="m,l21600,21600e" filled="f">
              <v:path arrowok="t" fillok="f" o:connecttype="none"/>
              <o:lock v:ext="edit" shapetype="t"/>
            </v:shapetype>
            <v:shape id="Straight Arrow Connector 82614137" o:spid="_x0000_s1026" type="#_x0000_t32" style="position:absolute;margin-left:18.3pt;margin-top:-8.15pt;width:0;height:28.35pt;z-index:251662336;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" strokeweight="1pt">
              <o:lock v:ext="edit" shapetype="f"/>
            </v:shape>
          </w:pict>
        </mc:Fallback>
      </mc:AlternateContent>
    </w:r>
    <w:r w:rsidRPr="009C7910">
      <w:rPr>
        <w:rFonts w:ascii="Tahoma" w:eastAsia="Tahoma" w:hAnsi="Tahoma" w:cs="Tahoma"/>
        <w:sz w:val="20"/>
        <w:szCs w:val="20"/>
        <w:lang w:val="id-ID" w:eastAsia="zh-CN"/>
      </w:rPr>
      <w:fldChar w:fldCharType="begin"/>
    </w:r>
    <w:r w:rsidRPr="009C7910">
      <w:rPr>
        <w:rFonts w:ascii="Tahoma" w:eastAsia="Tahoma" w:hAnsi="Tahoma" w:cs="Tahoma"/>
        <w:sz w:val="20"/>
        <w:szCs w:val="20"/>
        <w:lang w:val="id-ID" w:eastAsia="zh-CN"/>
      </w:rPr>
      <w:instrText>PAGE</w:instrText>
    </w:r>
    <w:r w:rsidRPr="009C7910">
      <w:rPr>
        <w:rFonts w:ascii="Tahoma" w:eastAsia="Tahoma" w:hAnsi="Tahoma" w:cs="Tahoma"/>
        <w:sz w:val="20"/>
        <w:szCs w:val="20"/>
        <w:lang w:val="id-ID" w:eastAsia="zh-CN"/>
      </w:rPr>
      <w:fldChar w:fldCharType="separate"/>
    </w:r>
    <w:r>
      <w:rPr>
        <w:rFonts w:ascii="Tahoma" w:eastAsia="Tahoma" w:hAnsi="Tahoma" w:cs="Tahoma"/>
        <w:sz w:val="20"/>
        <w:szCs w:val="20"/>
        <w:lang w:val="id-ID" w:eastAsia="zh-CN"/>
      </w:rPr>
      <w:t>69</w:t>
    </w:r>
    <w:r>
      <w:rPr>
        <w:rFonts w:ascii="Tahoma" w:eastAsia="Tahoma" w:hAnsi="Tahoma" w:cs="Tahoma"/>
        <w:sz w:val="20"/>
        <w:szCs w:val="20"/>
        <w:lang w:val="id-ID" w:eastAsia="zh-CN"/>
      </w:rPr>
      <w:t>5</w:t>
    </w:r>
    <w:r w:rsidRPr="009C7910">
      <w:rPr>
        <w:rFonts w:ascii="Tahoma" w:eastAsia="Tahoma" w:hAnsi="Tahoma" w:cs="Tahoma"/>
        <w:sz w:val="20"/>
        <w:szCs w:val="20"/>
        <w:lang w:val="id-ID" w:eastAsia="zh-CN"/>
      </w:rPr>
      <w:fldChar w:fldCharType="end"/>
    </w:r>
    <w:r w:rsidRPr="009C7910">
      <w:rPr>
        <w:rFonts w:ascii="Tahoma" w:eastAsia="Tahoma" w:hAnsi="Tahoma" w:cs="Tahoma"/>
        <w:sz w:val="20"/>
        <w:szCs w:val="20"/>
        <w:lang w:val="id-ID" w:eastAsia="zh-CN"/>
      </w:rPr>
      <w:t xml:space="preserve">  </w:t>
    </w:r>
    <w:r w:rsidRPr="009C7910">
      <w:rPr>
        <w:rFonts w:ascii="Tahoma" w:eastAsia="Calibri" w:hAnsi="Tahoma" w:cs="Tahoma"/>
        <w:b/>
        <w:sz w:val="20"/>
        <w:szCs w:val="20"/>
        <w:shd w:val="clear" w:color="auto" w:fill="FFFFFF"/>
        <w:lang w:val="id-ID" w:eastAsia="zh-CN"/>
      </w:rPr>
      <w:t xml:space="preserve">Jurnal Riset Rumpun Ilmu Sosial, Politik dan Humaniora </w:t>
    </w:r>
    <w:r w:rsidRPr="009C7910">
      <w:rPr>
        <w:rFonts w:ascii="Tahoma" w:eastAsia="Calibri" w:hAnsi="Tahoma" w:cs="Tahoma"/>
        <w:sz w:val="20"/>
        <w:szCs w:val="20"/>
        <w:shd w:val="clear" w:color="auto" w:fill="FFFFFF"/>
        <w:lang w:val="id-ID" w:eastAsia="zh-CN"/>
      </w:rPr>
      <w:t>- Volume 5, Nomor 2, April 2026</w:t>
    </w:r>
    <w:r w:rsidRPr="009C7910">
      <w:rPr>
        <w:rFonts w:ascii="Tahoma" w:eastAsia="Calibri" w:hAnsi="Tahoma" w:cs="Tahoma"/>
        <w:sz w:val="20"/>
        <w:szCs w:val="20"/>
        <w:lang w:val="id-ID"/>
      </w:rPr>
      <w:t xml:space="preserve"> </w:t>
    </w:r>
  </w:p>
  <w:p w14:paraId="36991D11" w14:textId="77777777" w:rsidR="00AF0A55" w:rsidRDefault="00AF0A55" w:rsidP="00AF0A55">
    <w:pPr>
      <w:pStyle w:val="Footer"/>
    </w:pPr>
  </w:p>
  <w:p w14:paraId="2AFCF469" w14:textId="77777777" w:rsidR="00AF0A55" w:rsidRDefault="00AF0A55" w:rsidP="00AF0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C9F7" w14:textId="77777777" w:rsidR="00AF0A55" w:rsidRDefault="00AF0A55" w:rsidP="00AF0A55">
    <w:pPr>
      <w:pBdr>
        <w:top w:val="single" w:sz="4" w:space="1" w:color="auto"/>
      </w:pBdr>
      <w:tabs>
        <w:tab w:val="center" w:pos="4513"/>
        <w:tab w:val="right" w:pos="9026"/>
      </w:tabs>
      <w:spacing w:after="0" w:line="240" w:lineRule="auto"/>
      <w:rPr>
        <w:rFonts w:ascii="Calibri" w:eastAsia="Calibri" w:hAnsi="Calibri" w:cs="Calibri"/>
        <w:i/>
        <w:iCs/>
        <w:sz w:val="20"/>
        <w:szCs w:val="20"/>
        <w:lang w:val="sv-SE"/>
      </w:rPr>
    </w:pPr>
    <w:r w:rsidRPr="00C219E1">
      <w:rPr>
        <w:rFonts w:ascii="Calibri" w:eastAsia="Calibri" w:hAnsi="Calibri" w:cs="Calibri"/>
        <w:i/>
        <w:iCs/>
        <w:sz w:val="20"/>
        <w:szCs w:val="20"/>
        <w:lang w:val="sv-SE"/>
      </w:rPr>
      <w:t>Naskah Masuk: 07</w:t>
    </w:r>
    <w:r>
      <w:rPr>
        <w:rFonts w:ascii="Calibri" w:eastAsia="Calibri" w:hAnsi="Calibri" w:cs="Calibri"/>
        <w:i/>
        <w:iCs/>
        <w:sz w:val="20"/>
        <w:szCs w:val="20"/>
        <w:lang w:val="sv-SE"/>
      </w:rPr>
      <w:t xml:space="preserve"> Desember 2025; Revisi: 13</w:t>
    </w:r>
    <w:r w:rsidRPr="00C219E1">
      <w:rPr>
        <w:rFonts w:ascii="Calibri" w:eastAsia="Calibri" w:hAnsi="Calibri" w:cs="Calibri"/>
        <w:i/>
        <w:iCs/>
        <w:sz w:val="20"/>
        <w:szCs w:val="20"/>
        <w:lang w:val="sv-SE"/>
      </w:rPr>
      <w:t xml:space="preserve"> </w:t>
    </w:r>
    <w:r>
      <w:rPr>
        <w:rFonts w:ascii="Calibri" w:eastAsia="Calibri" w:hAnsi="Calibri" w:cs="Calibri"/>
        <w:i/>
        <w:iCs/>
        <w:sz w:val="20"/>
        <w:szCs w:val="20"/>
        <w:lang w:val="sv-SE"/>
      </w:rPr>
      <w:t>Januari 2026</w:t>
    </w:r>
    <w:r w:rsidRPr="00C219E1">
      <w:rPr>
        <w:rFonts w:ascii="Calibri" w:eastAsia="Calibri" w:hAnsi="Calibri" w:cs="Calibri"/>
        <w:i/>
        <w:iCs/>
        <w:sz w:val="20"/>
        <w:szCs w:val="20"/>
        <w:lang w:val="sv-SE"/>
      </w:rPr>
      <w:t xml:space="preserve">; Diterima: </w:t>
    </w:r>
    <w:r>
      <w:rPr>
        <w:rFonts w:ascii="Calibri" w:eastAsia="Calibri" w:hAnsi="Calibri" w:cs="Calibri"/>
        <w:i/>
        <w:iCs/>
        <w:sz w:val="20"/>
        <w:szCs w:val="20"/>
        <w:lang w:val="sv-SE"/>
      </w:rPr>
      <w:t>08</w:t>
    </w:r>
    <w:r w:rsidRPr="00C219E1">
      <w:rPr>
        <w:rFonts w:ascii="Calibri" w:eastAsia="Calibri" w:hAnsi="Calibri" w:cs="Calibri"/>
        <w:i/>
        <w:iCs/>
        <w:sz w:val="20"/>
        <w:szCs w:val="20"/>
        <w:lang w:val="sv-SE"/>
      </w:rPr>
      <w:t xml:space="preserve"> </w:t>
    </w:r>
    <w:r>
      <w:rPr>
        <w:rFonts w:ascii="Calibri" w:eastAsia="Calibri" w:hAnsi="Calibri" w:cs="Calibri"/>
        <w:i/>
        <w:iCs/>
        <w:sz w:val="20"/>
        <w:szCs w:val="20"/>
        <w:lang w:val="sv-SE"/>
      </w:rPr>
      <w:t>Februari</w:t>
    </w:r>
    <w:r w:rsidRPr="00C219E1">
      <w:rPr>
        <w:rFonts w:ascii="Calibri" w:eastAsia="Calibri" w:hAnsi="Calibri" w:cs="Calibri"/>
        <w:i/>
        <w:iCs/>
        <w:sz w:val="20"/>
        <w:szCs w:val="20"/>
        <w:lang w:val="sv-SE"/>
      </w:rPr>
      <w:t xml:space="preserve"> 2025; </w:t>
    </w:r>
  </w:p>
  <w:p w14:paraId="44D2CE7D" w14:textId="77777777" w:rsidR="00AF0A55" w:rsidRPr="00D7666D" w:rsidRDefault="00AF0A55" w:rsidP="00AF0A55">
    <w:pPr>
      <w:pBdr>
        <w:top w:val="single" w:sz="4" w:space="1" w:color="auto"/>
      </w:pBdr>
      <w:tabs>
        <w:tab w:val="center" w:pos="4513"/>
        <w:tab w:val="right" w:pos="9026"/>
      </w:tabs>
      <w:spacing w:after="0" w:line="240" w:lineRule="auto"/>
      <w:rPr>
        <w:rFonts w:ascii="Calibri" w:eastAsia="Calibri" w:hAnsi="Calibri" w:cs="Calibri"/>
        <w:i/>
        <w:iCs/>
        <w:sz w:val="20"/>
        <w:szCs w:val="20"/>
        <w:lang w:val="sv-SE"/>
      </w:rPr>
    </w:pPr>
    <w:r w:rsidRPr="00C219E1">
      <w:rPr>
        <w:rFonts w:ascii="Calibri" w:eastAsia="Calibri" w:hAnsi="Calibri" w:cs="Calibri"/>
        <w:i/>
        <w:iCs/>
        <w:sz w:val="20"/>
        <w:szCs w:val="20"/>
        <w:lang w:val="sv-SE"/>
      </w:rPr>
      <w:t xml:space="preserve">Tersedia: </w:t>
    </w:r>
    <w:r>
      <w:rPr>
        <w:rFonts w:ascii="Calibri" w:eastAsia="Calibri" w:hAnsi="Calibri" w:cs="Calibri"/>
        <w:i/>
        <w:iCs/>
        <w:sz w:val="20"/>
        <w:szCs w:val="20"/>
        <w:lang w:val="sv-SE"/>
      </w:rPr>
      <w:t>12</w:t>
    </w:r>
    <w:r w:rsidRPr="00C219E1">
      <w:rPr>
        <w:rFonts w:ascii="Calibri" w:eastAsia="Calibri" w:hAnsi="Calibri" w:cs="Calibri"/>
        <w:i/>
        <w:iCs/>
        <w:sz w:val="20"/>
        <w:szCs w:val="20"/>
        <w:lang w:val="sv-SE"/>
      </w:rPr>
      <w:t xml:space="preserve"> </w:t>
    </w:r>
    <w:r>
      <w:rPr>
        <w:rFonts w:ascii="Calibri" w:eastAsia="Calibri" w:hAnsi="Calibri" w:cs="Calibri"/>
        <w:i/>
        <w:iCs/>
        <w:sz w:val="20"/>
        <w:szCs w:val="20"/>
        <w:lang w:val="sv-SE"/>
      </w:rPr>
      <w:t>Februari</w:t>
    </w:r>
    <w:r w:rsidRPr="00C219E1">
      <w:rPr>
        <w:rFonts w:ascii="Calibri" w:eastAsia="Calibri" w:hAnsi="Calibri" w:cs="Calibri"/>
        <w:i/>
        <w:iCs/>
        <w:sz w:val="20"/>
        <w:szCs w:val="20"/>
        <w:lang w:val="sv-SE"/>
      </w:rPr>
      <w:t xml:space="preserve"> 2025</w:t>
    </w:r>
  </w:p>
  <w:p w14:paraId="66486F5E" w14:textId="77777777" w:rsidR="00AF0A55" w:rsidRDefault="00AF0A55" w:rsidP="00AF0A55">
    <w:pPr>
      <w:pStyle w:val="Footer"/>
    </w:pPr>
  </w:p>
  <w:p w14:paraId="03E560D0" w14:textId="77777777" w:rsidR="00AF0A55" w:rsidRDefault="00AF0A55" w:rsidP="00AF0A55">
    <w:pPr>
      <w:pStyle w:val="Footer"/>
    </w:pPr>
  </w:p>
  <w:p w14:paraId="11BFC21D" w14:textId="77777777" w:rsidR="00AF0A55" w:rsidRDefault="00AF0A55" w:rsidP="00AF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905F" w14:textId="77777777" w:rsidR="00737ED6" w:rsidRDefault="00737ED6">
      <w:pPr>
        <w:spacing w:after="0"/>
      </w:pPr>
      <w:r>
        <w:separator/>
      </w:r>
    </w:p>
  </w:footnote>
  <w:footnote w:type="continuationSeparator" w:id="0">
    <w:p w14:paraId="435CA2D5" w14:textId="77777777" w:rsidR="00737ED6" w:rsidRDefault="00737E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E278" w14:textId="77777777" w:rsidR="00AF0A55" w:rsidRDefault="00AF0A55" w:rsidP="00AF0A55">
    <w:pPr>
      <w:pStyle w:val="Header"/>
      <w:jc w:val="right"/>
      <w:rPr>
        <w:rFonts w:ascii="Cambria" w:eastAsia="Times New Roman" w:hAnsi="Cambria" w:cs="Arial"/>
        <w:noProof/>
        <w:lang w:val="id-ID"/>
      </w:rPr>
    </w:pPr>
  </w:p>
  <w:p w14:paraId="2CA3B096" w14:textId="77777777" w:rsidR="00AF0A55" w:rsidRDefault="00AF0A55" w:rsidP="00AF0A55">
    <w:pPr>
      <w:pStyle w:val="Header"/>
      <w:jc w:val="right"/>
      <w:rPr>
        <w:rFonts w:ascii="Cambria" w:eastAsia="Times New Roman" w:hAnsi="Cambria" w:cs="Arial"/>
        <w:noProof/>
        <w:lang w:val="id-ID"/>
      </w:rPr>
    </w:pPr>
  </w:p>
  <w:p w14:paraId="2C2A2D05" w14:textId="1EBA393F" w:rsidR="00AF0A55" w:rsidRDefault="00AF0A55" w:rsidP="00AF0A55">
    <w:pPr>
      <w:pStyle w:val="Header"/>
      <w:jc w:val="right"/>
    </w:pPr>
    <w:r w:rsidRPr="00AF0A55">
      <w:rPr>
        <w:rFonts w:ascii="Cambria" w:eastAsia="Times New Roman" w:hAnsi="Cambria" w:cs="Arial"/>
        <w:noProof/>
        <w:lang w:val="id-ID"/>
      </w:rPr>
      <w:t>E-ISSN .: 2828-7622</w:t>
    </w:r>
    <w:r w:rsidRPr="00AF0A55">
      <w:rPr>
        <w:rFonts w:ascii="Cambria" w:eastAsia="Cambria" w:hAnsi="Cambria" w:cs="Cambria"/>
        <w:lang w:val="id-ID"/>
      </w:rPr>
      <w:t xml:space="preserve">; P-ISSN .: 2828-7630, Hal. </w:t>
    </w:r>
    <w:r>
      <w:rPr>
        <w:rFonts w:ascii="Cambria" w:eastAsia="Cambria" w:hAnsi="Cambria" w:cs="Cambria"/>
        <w:lang w:val="id-ID"/>
      </w:rPr>
      <w:t>710</w:t>
    </w:r>
    <w:r w:rsidRPr="00AF0A55">
      <w:rPr>
        <w:rFonts w:ascii="Cambria" w:eastAsia="Cambria" w:hAnsi="Cambria" w:cs="Cambria"/>
        <w:lang w:val="en-US"/>
      </w:rPr>
      <w:t>-7</w:t>
    </w:r>
    <w:r>
      <w:rPr>
        <w:rFonts w:ascii="Cambria" w:eastAsia="Cambria" w:hAnsi="Cambria" w:cs="Cambria"/>
        <w:lang w:val="en-US"/>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ECB" w14:textId="77777777" w:rsidR="00AF0A55" w:rsidRDefault="00AF0A55" w:rsidP="00AF0A55">
    <w:pPr>
      <w:pStyle w:val="Header"/>
      <w:jc w:val="right"/>
      <w:rPr>
        <w:rFonts w:ascii="Arial" w:hAnsi="Arial" w:cs="Arial"/>
        <w:i/>
        <w:iCs/>
        <w:sz w:val="20"/>
        <w:szCs w:val="20"/>
        <w:lang w:val="en-US"/>
      </w:rPr>
    </w:pPr>
  </w:p>
  <w:p w14:paraId="224FA234" w14:textId="77777777" w:rsidR="00AF0A55" w:rsidRDefault="00AF0A55" w:rsidP="00AF0A55">
    <w:pPr>
      <w:pStyle w:val="Header"/>
      <w:jc w:val="right"/>
      <w:rPr>
        <w:rFonts w:ascii="Arial" w:hAnsi="Arial" w:cs="Arial"/>
        <w:i/>
        <w:iCs/>
        <w:sz w:val="20"/>
        <w:szCs w:val="20"/>
        <w:lang w:val="en-US"/>
      </w:rPr>
    </w:pPr>
  </w:p>
  <w:p w14:paraId="1A7FA4DA" w14:textId="77777777" w:rsidR="00AF0A55" w:rsidRDefault="00AF0A55" w:rsidP="00AF0A55">
    <w:pPr>
      <w:pStyle w:val="Header"/>
      <w:jc w:val="right"/>
      <w:rPr>
        <w:rFonts w:ascii="Arial" w:hAnsi="Arial" w:cs="Arial"/>
        <w:i/>
        <w:iCs/>
        <w:sz w:val="20"/>
        <w:szCs w:val="20"/>
        <w:lang w:val="en-US"/>
      </w:rPr>
    </w:pPr>
  </w:p>
  <w:p w14:paraId="59325ED3" w14:textId="640E7A88" w:rsidR="00AF0A55" w:rsidRPr="00AF0A55" w:rsidRDefault="00AF0A55" w:rsidP="00AF0A55">
    <w:pPr>
      <w:pStyle w:val="Header"/>
      <w:jc w:val="right"/>
      <w:rPr>
        <w:rFonts w:ascii="Arial" w:hAnsi="Arial" w:cs="Arial"/>
        <w:i/>
        <w:iCs/>
        <w:sz w:val="20"/>
        <w:szCs w:val="20"/>
      </w:rPr>
    </w:pPr>
    <w:r w:rsidRPr="00AF0A55">
      <w:rPr>
        <w:rFonts w:ascii="Arial" w:hAnsi="Arial" w:cs="Arial"/>
        <w:i/>
        <w:iCs/>
        <w:sz w:val="20"/>
        <w:szCs w:val="20"/>
      </w:rPr>
      <w:t>Rekonstruksi Kebijakan CSR di Indonesia Sesuai Analisis Hukum, Implementasi, dan Arah Reformasi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EFAA" w14:textId="77777777" w:rsidR="00AF0A55" w:rsidRPr="00AF0A55" w:rsidRDefault="00AF0A55" w:rsidP="00AF0A55">
    <w:pPr>
      <w:spacing w:after="0" w:line="240" w:lineRule="auto"/>
      <w:jc w:val="center"/>
      <w:rPr>
        <w:rFonts w:ascii="Cambria" w:eastAsia="Cambria" w:hAnsi="Cambria" w:cs="Cambria"/>
        <w:b/>
        <w:bCs/>
        <w:lang w:val="id-ID"/>
      </w:rPr>
    </w:pPr>
  </w:p>
  <w:p w14:paraId="61D4F91D" w14:textId="77777777" w:rsidR="00AF0A55" w:rsidRPr="00AF0A55" w:rsidRDefault="00AF0A55" w:rsidP="00AF0A55">
    <w:pPr>
      <w:spacing w:after="0" w:line="240" w:lineRule="auto"/>
      <w:jc w:val="right"/>
      <w:rPr>
        <w:rFonts w:ascii="Cambria" w:eastAsia="Cambria" w:hAnsi="Cambria" w:cs="Cambria"/>
        <w:b/>
        <w:lang w:val="id-ID"/>
      </w:rPr>
    </w:pPr>
    <w:r w:rsidRPr="00AF0A55">
      <w:rPr>
        <w:rFonts w:ascii="Cambria" w:eastAsia="Cambria" w:hAnsi="Cambria" w:cs="Cambria"/>
        <w:b/>
        <w:bCs/>
        <w:lang w:val="id-ID"/>
      </w:rPr>
      <w:t>Jurnal Riset Rumpun Ilmu Sosial, Politik dan Humaniora</w:t>
    </w:r>
  </w:p>
  <w:p w14:paraId="4265BBC1" w14:textId="77777777" w:rsidR="00AF0A55" w:rsidRPr="00AF0A55" w:rsidRDefault="00AF0A55" w:rsidP="00AF0A55">
    <w:pPr>
      <w:spacing w:after="0" w:line="240" w:lineRule="auto"/>
      <w:ind w:hanging="1"/>
      <w:jc w:val="right"/>
      <w:rPr>
        <w:rFonts w:ascii="Cambria" w:eastAsia="Cambria" w:hAnsi="Cambria" w:cs="Cambria"/>
        <w:b/>
        <w:lang w:val="id-ID"/>
      </w:rPr>
    </w:pPr>
    <w:r w:rsidRPr="00AF0A55">
      <w:rPr>
        <w:rFonts w:ascii="Cambria" w:eastAsia="Cambria" w:hAnsi="Cambria" w:cs="Cambria"/>
        <w:b/>
        <w:lang w:val="id-ID"/>
      </w:rPr>
      <w:t>Volume 5, Nomor 2, April 2026</w:t>
    </w:r>
  </w:p>
  <w:p w14:paraId="53E0BC5F" w14:textId="052C454D" w:rsidR="00AF0A55" w:rsidRPr="00AF0A55" w:rsidRDefault="00AF0A55" w:rsidP="00AF0A55">
    <w:pPr>
      <w:spacing w:after="0" w:line="240" w:lineRule="auto"/>
      <w:ind w:hanging="1"/>
      <w:jc w:val="right"/>
      <w:rPr>
        <w:rFonts w:ascii="Cambria" w:eastAsia="Cambria" w:hAnsi="Cambria" w:cs="Cambria"/>
        <w:lang w:val="en-US"/>
      </w:rPr>
    </w:pPr>
    <w:r w:rsidRPr="00AF0A55">
      <w:rPr>
        <w:rFonts w:ascii="Cambria" w:eastAsia="Times New Roman" w:hAnsi="Cambria" w:cs="Arial"/>
        <w:noProof/>
        <w:lang w:val="id"/>
      </w:rPr>
      <w:drawing>
        <wp:anchor distT="0" distB="0" distL="114300" distR="114300" simplePos="0" relativeHeight="251660288" behindDoc="0" locked="0" layoutInCell="1" allowOverlap="1" wp14:anchorId="0C497F70" wp14:editId="7AAAA1A2">
          <wp:simplePos x="0" y="0"/>
          <wp:positionH relativeFrom="column">
            <wp:posOffset>752475</wp:posOffset>
          </wp:positionH>
          <wp:positionV relativeFrom="paragraph">
            <wp:posOffset>160655</wp:posOffset>
          </wp:positionV>
          <wp:extent cx="790575" cy="293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293365"/>
                  </a:xfrm>
                  <a:prstGeom prst="rect">
                    <a:avLst/>
                  </a:prstGeom>
                  <a:noFill/>
                </pic:spPr>
              </pic:pic>
            </a:graphicData>
          </a:graphic>
          <wp14:sizeRelH relativeFrom="margin">
            <wp14:pctWidth>0</wp14:pctWidth>
          </wp14:sizeRelH>
          <wp14:sizeRelV relativeFrom="margin">
            <wp14:pctHeight>0</wp14:pctHeight>
          </wp14:sizeRelV>
        </wp:anchor>
      </w:drawing>
    </w:r>
    <w:r w:rsidRPr="00AF0A55">
      <w:rPr>
        <w:rFonts w:ascii="Cambria" w:eastAsia="Times New Roman" w:hAnsi="Cambria" w:cs="Arial"/>
        <w:noProof/>
        <w:lang w:val="id"/>
      </w:rPr>
      <w:drawing>
        <wp:anchor distT="0" distB="0" distL="114300" distR="114300" simplePos="0" relativeHeight="251659264" behindDoc="0" locked="0" layoutInCell="1" allowOverlap="1" wp14:anchorId="7F07BBA9" wp14:editId="66B72D51">
          <wp:simplePos x="0" y="0"/>
          <wp:positionH relativeFrom="margin">
            <wp:posOffset>0</wp:posOffset>
          </wp:positionH>
          <wp:positionV relativeFrom="paragraph">
            <wp:posOffset>134800</wp:posOffset>
          </wp:positionV>
          <wp:extent cx="752475" cy="2881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983" cy="290985"/>
                  </a:xfrm>
                  <a:prstGeom prst="rect">
                    <a:avLst/>
                  </a:prstGeom>
                  <a:noFill/>
                </pic:spPr>
              </pic:pic>
            </a:graphicData>
          </a:graphic>
          <wp14:sizeRelH relativeFrom="margin">
            <wp14:pctWidth>0</wp14:pctWidth>
          </wp14:sizeRelH>
          <wp14:sizeRelV relativeFrom="margin">
            <wp14:pctHeight>0</wp14:pctHeight>
          </wp14:sizeRelV>
        </wp:anchor>
      </w:drawing>
    </w:r>
    <w:r w:rsidRPr="00AF0A55">
      <w:rPr>
        <w:rFonts w:ascii="Cambria" w:eastAsia="Calibri" w:hAnsi="Cambria" w:cs="Calibri"/>
        <w:lang w:val="id-ID"/>
      </w:rPr>
      <w:t xml:space="preserve"> </w:t>
    </w:r>
    <w:r w:rsidRPr="00AF0A55">
      <w:rPr>
        <w:rFonts w:ascii="Cambria" w:eastAsia="Times New Roman" w:hAnsi="Cambria" w:cs="Arial"/>
        <w:noProof/>
        <w:lang w:val="id-ID"/>
      </w:rPr>
      <w:t>E-ISSN .: 2828-7622</w:t>
    </w:r>
    <w:r w:rsidRPr="00AF0A55">
      <w:rPr>
        <w:rFonts w:ascii="Cambria" w:eastAsia="Cambria" w:hAnsi="Cambria" w:cs="Cambria"/>
        <w:lang w:val="id-ID"/>
      </w:rPr>
      <w:t xml:space="preserve">; P-ISSN .: 2828-7630, Hal. </w:t>
    </w:r>
    <w:r>
      <w:rPr>
        <w:rFonts w:ascii="Cambria" w:eastAsia="Cambria" w:hAnsi="Cambria" w:cs="Cambria"/>
        <w:lang w:val="id-ID"/>
      </w:rPr>
      <w:t>710</w:t>
    </w:r>
    <w:r w:rsidRPr="00AF0A55">
      <w:rPr>
        <w:rFonts w:ascii="Cambria" w:eastAsia="Cambria" w:hAnsi="Cambria" w:cs="Cambria"/>
        <w:lang w:val="en-US"/>
      </w:rPr>
      <w:t>-7</w:t>
    </w:r>
    <w:r>
      <w:rPr>
        <w:rFonts w:ascii="Cambria" w:eastAsia="Cambria" w:hAnsi="Cambria" w:cs="Cambria"/>
        <w:lang w:val="en-US"/>
      </w:rPr>
      <w:t>18</w:t>
    </w:r>
  </w:p>
  <w:p w14:paraId="53898492" w14:textId="77777777" w:rsidR="00AF0A55" w:rsidRPr="00AF0A55" w:rsidRDefault="00AF0A55" w:rsidP="00AF0A55">
    <w:pPr>
      <w:spacing w:after="0" w:line="240" w:lineRule="auto"/>
      <w:ind w:hanging="1"/>
      <w:jc w:val="right"/>
      <w:rPr>
        <w:rFonts w:ascii="Cambria" w:eastAsia="Times New Roman" w:hAnsi="Cambria" w:cs="Arial"/>
        <w:color w:val="0000FF"/>
        <w:u w:val="single"/>
        <w:lang w:val="id-ID"/>
      </w:rPr>
    </w:pPr>
    <w:r w:rsidRPr="00AF0A55">
      <w:rPr>
        <w:rFonts w:ascii="Cambria" w:eastAsia="Calibri" w:hAnsi="Cambria" w:cs="Arial"/>
        <w:lang w:val="id-ID"/>
      </w:rPr>
      <w:t xml:space="preserve">DOI: </w:t>
    </w:r>
    <w:r>
      <w:rPr>
        <w:rFonts w:ascii="Cambria" w:eastAsia="Calibri" w:hAnsi="Cambria" w:cs="Arial"/>
        <w:color w:val="0000FF"/>
        <w:u w:val="single"/>
        <w:lang w:val="id-ID"/>
      </w:rPr>
      <w:fldChar w:fldCharType="begin"/>
    </w:r>
    <w:r>
      <w:rPr>
        <w:rFonts w:ascii="Cambria" w:eastAsia="Calibri" w:hAnsi="Cambria" w:cs="Arial"/>
        <w:color w:val="0000FF"/>
        <w:u w:val="single"/>
        <w:lang w:val="id-ID"/>
      </w:rPr>
      <w:instrText>HYPERLINK "</w:instrText>
    </w:r>
    <w:r w:rsidRPr="00AF0A55">
      <w:rPr>
        <w:rFonts w:ascii="Cambria" w:eastAsia="Calibri" w:hAnsi="Cambria" w:cs="Arial"/>
        <w:color w:val="0000FF"/>
        <w:u w:val="single"/>
        <w:lang w:val="id-ID"/>
      </w:rPr>
      <w:instrText>https://doi.org/10.55606/jurrish.v5i2.</w:instrText>
    </w:r>
    <w:r w:rsidRPr="00AF0A55">
      <w:rPr>
        <w:rFonts w:ascii="Cambria" w:eastAsia="Calibri" w:hAnsi="Cambria" w:cs="Arial"/>
        <w:color w:val="0000FF"/>
        <w:u w:val="single"/>
        <w:lang w:val="en-US"/>
      </w:rPr>
      <w:instrText>846</w:instrText>
    </w:r>
    <w:r>
      <w:rPr>
        <w:rFonts w:ascii="Cambria" w:eastAsia="Calibri" w:hAnsi="Cambria" w:cs="Arial"/>
        <w:color w:val="0000FF"/>
        <w:u w:val="single"/>
        <w:lang w:val="en-US"/>
      </w:rPr>
      <w:instrText>9</w:instrText>
    </w:r>
    <w:r w:rsidRPr="00AF0A55">
      <w:rPr>
        <w:rFonts w:ascii="Cambria" w:eastAsia="Calibri" w:hAnsi="Cambria" w:cs="Arial"/>
        <w:color w:val="0000FF"/>
        <w:u w:val="single"/>
        <w:lang w:val="en-US"/>
      </w:rPr>
      <w:instrText xml:space="preserve"> </w:instrText>
    </w:r>
    <w:r w:rsidRPr="00AF0A55">
      <w:rPr>
        <w:rFonts w:ascii="Cambria" w:eastAsia="Calibri" w:hAnsi="Cambria" w:cs="Arial"/>
        <w:color w:val="0000FF"/>
        <w:u w:val="single"/>
        <w:lang w:val="id-ID"/>
      </w:rPr>
      <w:instrText xml:space="preserve"> </w:instrText>
    </w:r>
  </w:p>
  <w:p w14:paraId="5DAFC641" w14:textId="77777777" w:rsidR="00AF0A55" w:rsidRPr="00AF0A55" w:rsidRDefault="00AF0A55" w:rsidP="00AF0A55">
    <w:pPr>
      <w:spacing w:after="0" w:line="240" w:lineRule="auto"/>
      <w:ind w:hanging="1"/>
      <w:jc w:val="right"/>
      <w:rPr>
        <w:rStyle w:val="Hyperlink"/>
        <w:rFonts w:ascii="Cambria" w:eastAsia="Times New Roman" w:hAnsi="Cambria" w:cs="Arial"/>
        <w:lang w:val="id-ID"/>
      </w:rPr>
    </w:pPr>
    <w:r>
      <w:rPr>
        <w:rFonts w:ascii="Cambria" w:eastAsia="Calibri" w:hAnsi="Cambria" w:cs="Arial"/>
        <w:color w:val="0000FF"/>
        <w:u w:val="single"/>
        <w:lang w:val="id-ID"/>
      </w:rPr>
      <w:instrText>"</w:instrText>
    </w:r>
    <w:r>
      <w:rPr>
        <w:rFonts w:ascii="Cambria" w:eastAsia="Calibri" w:hAnsi="Cambria" w:cs="Arial"/>
        <w:color w:val="0000FF"/>
        <w:u w:val="single"/>
        <w:lang w:val="id-ID"/>
      </w:rPr>
      <w:fldChar w:fldCharType="separate"/>
    </w:r>
    <w:r w:rsidRPr="00AF0A55">
      <w:rPr>
        <w:rStyle w:val="Hyperlink"/>
        <w:rFonts w:ascii="Cambria" w:eastAsia="Calibri" w:hAnsi="Cambria" w:cs="Arial"/>
        <w:lang w:val="id-ID"/>
      </w:rPr>
      <w:t>https://doi.org/10.55606/jurrish.v5i2.</w:t>
    </w:r>
    <w:r w:rsidRPr="00AF0A55">
      <w:rPr>
        <w:rStyle w:val="Hyperlink"/>
        <w:rFonts w:ascii="Cambria" w:eastAsia="Calibri" w:hAnsi="Cambria" w:cs="Arial"/>
        <w:lang w:val="en-US"/>
      </w:rPr>
      <w:t>846</w:t>
    </w:r>
    <w:r w:rsidRPr="00B2417C">
      <w:rPr>
        <w:rStyle w:val="Hyperlink"/>
        <w:rFonts w:ascii="Cambria" w:eastAsia="Calibri" w:hAnsi="Cambria" w:cs="Arial"/>
        <w:lang w:val="en-US"/>
      </w:rPr>
      <w:t>9</w:t>
    </w:r>
    <w:r w:rsidRPr="00AF0A55">
      <w:rPr>
        <w:rStyle w:val="Hyperlink"/>
        <w:rFonts w:ascii="Cambria" w:eastAsia="Calibri" w:hAnsi="Cambria" w:cs="Arial"/>
        <w:lang w:val="en-US"/>
      </w:rPr>
      <w:t xml:space="preserve"> </w:t>
    </w:r>
    <w:r w:rsidRPr="00AF0A55">
      <w:rPr>
        <w:rStyle w:val="Hyperlink"/>
        <w:rFonts w:ascii="Cambria" w:eastAsia="Calibri" w:hAnsi="Cambria" w:cs="Arial"/>
        <w:lang w:val="id-ID"/>
      </w:rPr>
      <w:t xml:space="preserve"> </w:t>
    </w:r>
  </w:p>
  <w:p w14:paraId="0221B7A2" w14:textId="3B559710" w:rsidR="00AF0A55" w:rsidRPr="00AF0A55" w:rsidRDefault="00AF0A55" w:rsidP="00AF0A55">
    <w:pPr>
      <w:pBdr>
        <w:bottom w:val="single" w:sz="12" w:space="1" w:color="auto"/>
      </w:pBdr>
      <w:spacing w:after="0" w:line="240" w:lineRule="auto"/>
      <w:ind w:hanging="1"/>
      <w:jc w:val="right"/>
      <w:rPr>
        <w:rFonts w:ascii="Cambria" w:eastAsia="Calibri" w:hAnsi="Cambria" w:cs="Arial"/>
        <w:lang w:val="id-ID"/>
      </w:rPr>
    </w:pPr>
    <w:r>
      <w:rPr>
        <w:rFonts w:ascii="Cambria" w:eastAsia="Calibri" w:hAnsi="Cambria" w:cs="Arial"/>
        <w:color w:val="0000FF"/>
        <w:u w:val="single"/>
        <w:lang w:val="id-ID"/>
      </w:rPr>
      <w:fldChar w:fldCharType="end"/>
    </w:r>
    <w:r w:rsidRPr="00AF0A55">
      <w:rPr>
        <w:rFonts w:ascii="Cambria" w:eastAsia="Cambria" w:hAnsi="Cambria" w:cs="Arial"/>
        <w:iCs/>
        <w:lang w:val="id-ID"/>
      </w:rPr>
      <w:t>Tersedia</w:t>
    </w:r>
    <w:r w:rsidRPr="00AF0A55">
      <w:rPr>
        <w:rFonts w:ascii="Cambria" w:eastAsia="Cambria" w:hAnsi="Cambria" w:cs="Arial"/>
        <w:b/>
        <w:lang w:val="id-ID"/>
      </w:rPr>
      <w:t xml:space="preserve">: </w:t>
    </w:r>
    <w:hyperlink r:id="rId3" w:history="1">
      <w:r w:rsidRPr="00AF0A55">
        <w:rPr>
          <w:rFonts w:ascii="Cambria" w:eastAsia="Calibri" w:hAnsi="Cambria" w:cs="Arial"/>
          <w:color w:val="0000FF"/>
          <w:u w:val="single"/>
          <w:lang w:val="id-ID"/>
        </w:rPr>
        <w:t>https://prin.or.id/index.php/JURRISH</w:t>
      </w:r>
    </w:hyperlink>
    <w:r w:rsidRPr="00AF0A55">
      <w:rPr>
        <w:rFonts w:ascii="Cambria" w:eastAsia="Calibri" w:hAnsi="Cambria" w:cs="Arial"/>
        <w:color w:val="000000"/>
        <w:lang w:val="en-US"/>
      </w:rPr>
      <w:t xml:space="preserve"> </w:t>
    </w:r>
    <w:r w:rsidRPr="00AF0A55">
      <w:rPr>
        <w:rFonts w:ascii="Cambria" w:eastAsia="Calibri" w:hAnsi="Cambria" w:cs="Arial"/>
        <w:color w:val="0563C1"/>
        <w:u w:val="single"/>
        <w:lang w:val="id-ID"/>
      </w:rPr>
      <w:t xml:space="preserve"> </w:t>
    </w:r>
  </w:p>
  <w:p w14:paraId="628E6870" w14:textId="77777777" w:rsidR="00AF0A55" w:rsidRPr="00AF0A55" w:rsidRDefault="00AF0A55" w:rsidP="00AF0A55">
    <w:pPr>
      <w:widowControl w:val="0"/>
      <w:tabs>
        <w:tab w:val="center" w:pos="4680"/>
        <w:tab w:val="right" w:pos="9360"/>
      </w:tabs>
      <w:autoSpaceDE w:val="0"/>
      <w:autoSpaceDN w:val="0"/>
      <w:spacing w:after="0" w:line="240" w:lineRule="auto"/>
      <w:rPr>
        <w:rFonts w:ascii="Cambria" w:eastAsia="Times New Roman" w:hAnsi="Cambria" w:cs="Times New Roman"/>
        <w:lang w:val="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CA956"/>
    <w:multiLevelType w:val="singleLevel"/>
    <w:tmpl w:val="4C8CA956"/>
    <w:lvl w:ilvl="0">
      <w:start w:val="1"/>
      <w:numFmt w:val="decimal"/>
      <w:lvlText w:val="%1."/>
      <w:lvlJc w:val="left"/>
      <w:pPr>
        <w:tabs>
          <w:tab w:val="left" w:pos="425"/>
        </w:tabs>
        <w:ind w:left="425" w:hanging="425"/>
      </w:pPr>
      <w:rPr>
        <w:rFonts w:hint="default"/>
        <w:b/>
        <w:bCs/>
        <w:i w:val="0"/>
        <w:iCs w:val="0"/>
      </w:rPr>
    </w:lvl>
  </w:abstractNum>
  <w:num w:numId="1" w16cid:durableId="17955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4F"/>
    <w:rsid w:val="000A4826"/>
    <w:rsid w:val="000B6403"/>
    <w:rsid w:val="000C1202"/>
    <w:rsid w:val="00131FB3"/>
    <w:rsid w:val="001A796C"/>
    <w:rsid w:val="00211AAD"/>
    <w:rsid w:val="0021239D"/>
    <w:rsid w:val="0029532A"/>
    <w:rsid w:val="002F18AE"/>
    <w:rsid w:val="003079DA"/>
    <w:rsid w:val="00314129"/>
    <w:rsid w:val="00372ED9"/>
    <w:rsid w:val="00391307"/>
    <w:rsid w:val="00420015"/>
    <w:rsid w:val="00454753"/>
    <w:rsid w:val="00523F23"/>
    <w:rsid w:val="005371DD"/>
    <w:rsid w:val="005476E0"/>
    <w:rsid w:val="005A274F"/>
    <w:rsid w:val="005F0516"/>
    <w:rsid w:val="006019EB"/>
    <w:rsid w:val="00637E3D"/>
    <w:rsid w:val="00670AFB"/>
    <w:rsid w:val="006D2708"/>
    <w:rsid w:val="006D7456"/>
    <w:rsid w:val="00727F0B"/>
    <w:rsid w:val="00737ED6"/>
    <w:rsid w:val="00751A9F"/>
    <w:rsid w:val="00767F48"/>
    <w:rsid w:val="00796555"/>
    <w:rsid w:val="008721C1"/>
    <w:rsid w:val="0087325D"/>
    <w:rsid w:val="008F0E85"/>
    <w:rsid w:val="009A038D"/>
    <w:rsid w:val="009B2AA7"/>
    <w:rsid w:val="009C6DB1"/>
    <w:rsid w:val="00A527BE"/>
    <w:rsid w:val="00A57DF6"/>
    <w:rsid w:val="00A80942"/>
    <w:rsid w:val="00A97FA3"/>
    <w:rsid w:val="00AF0A55"/>
    <w:rsid w:val="00B01D1A"/>
    <w:rsid w:val="00B17B21"/>
    <w:rsid w:val="00B31670"/>
    <w:rsid w:val="00C44E78"/>
    <w:rsid w:val="00C511F3"/>
    <w:rsid w:val="00CB6824"/>
    <w:rsid w:val="00CD4B72"/>
    <w:rsid w:val="00D0419E"/>
    <w:rsid w:val="00D6259F"/>
    <w:rsid w:val="00D70F41"/>
    <w:rsid w:val="00D91E1A"/>
    <w:rsid w:val="00DB4F4B"/>
    <w:rsid w:val="00DC4D48"/>
    <w:rsid w:val="00E4213A"/>
    <w:rsid w:val="00E52DB2"/>
    <w:rsid w:val="00E56DBD"/>
    <w:rsid w:val="00F31347"/>
    <w:rsid w:val="00FD2CD3"/>
    <w:rsid w:val="00FE6A26"/>
    <w:rsid w:val="03D56303"/>
    <w:rsid w:val="069140D4"/>
    <w:rsid w:val="094079A8"/>
    <w:rsid w:val="0A515D78"/>
    <w:rsid w:val="16073682"/>
    <w:rsid w:val="2099410A"/>
    <w:rsid w:val="23AC5C96"/>
    <w:rsid w:val="2FD75C08"/>
    <w:rsid w:val="43F83723"/>
    <w:rsid w:val="445420CA"/>
    <w:rsid w:val="5CE00B5A"/>
    <w:rsid w:val="622E75B9"/>
    <w:rsid w:val="737850BF"/>
    <w:rsid w:val="7A5D682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2DCC3"/>
  <w15:docId w15:val="{AAA90DFF-ED64-402D-8D92-C2F9736D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kern w:val="2"/>
      <w:sz w:val="20"/>
      <w:szCs w:val="25"/>
      <w:lang w:bidi="th-TH"/>
      <w14:ligatures w14:val="standardContextual"/>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Pr>
      <w:b/>
      <w:bCs/>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id-ID"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id-ID"/>
    </w:rPr>
  </w:style>
  <w:style w:type="character" w:customStyle="1" w:styleId="hgkelc">
    <w:name w:val="hgkelc"/>
    <w:basedOn w:val="DefaultParagraphFont"/>
    <w:qFormat/>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FootnoteTextChar">
    <w:name w:val="Footnote Text Char"/>
    <w:basedOn w:val="DefaultParagraphFont"/>
    <w:link w:val="FootnoteText"/>
    <w:uiPriority w:val="99"/>
    <w:semiHidden/>
    <w:qFormat/>
    <w:rPr>
      <w:kern w:val="2"/>
      <w:sz w:val="20"/>
      <w:szCs w:val="25"/>
      <w:lang w:val="zh-CN" w:bidi="th-TH"/>
      <w14:ligatures w14:val="standardContextual"/>
    </w:rPr>
  </w:style>
  <w:style w:type="character" w:styleId="UnresolvedMention">
    <w:name w:val="Unresolved Mention"/>
    <w:basedOn w:val="DefaultParagraphFont"/>
    <w:uiPriority w:val="99"/>
    <w:semiHidden/>
    <w:unhideWhenUsed/>
    <w:rsid w:val="00AF0A55"/>
    <w:rPr>
      <w:color w:val="605E5C"/>
      <w:shd w:val="clear" w:color="auto" w:fill="E1DFDD"/>
    </w:rPr>
  </w:style>
  <w:style w:type="paragraph" w:styleId="Header">
    <w:name w:val="header"/>
    <w:basedOn w:val="Normal"/>
    <w:link w:val="HeaderChar"/>
    <w:uiPriority w:val="99"/>
    <w:unhideWhenUsed/>
    <w:rsid w:val="00AF0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55"/>
    <w:rPr>
      <w:rFonts w:asciiTheme="minorHAnsi" w:eastAsiaTheme="minorHAnsi" w:hAnsiTheme="minorHAnsi" w:cstheme="minorBidi"/>
      <w:sz w:val="22"/>
      <w:szCs w:val="22"/>
      <w:lang w:val="zh-CN" w:eastAsia="en-US"/>
    </w:rPr>
  </w:style>
  <w:style w:type="paragraph" w:styleId="Footer">
    <w:name w:val="footer"/>
    <w:basedOn w:val="Normal"/>
    <w:link w:val="FooterChar"/>
    <w:uiPriority w:val="99"/>
    <w:unhideWhenUsed/>
    <w:rsid w:val="00AF0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55"/>
    <w:rPr>
      <w:rFonts w:asciiTheme="minorHAnsi" w:eastAsiaTheme="minorHAnsi" w:hAnsiTheme="minorHAnsi" w:cstheme="minorBidi"/>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cepsuhardiman68@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boskyblack057@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prin.or.id/index.php/JURRISH"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F9E1-4B59-41F7-973C-F4FBB774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3560</Words>
  <Characters>20295</Characters>
  <Application>Microsoft Office Word</Application>
  <DocSecurity>0</DocSecurity>
  <Lines>169</Lines>
  <Paragraphs>47</Paragraphs>
  <ScaleCrop>false</ScaleCrop>
  <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DOSEN</dc:creator>
  <cp:lastModifiedBy>Reviewer</cp:lastModifiedBy>
  <cp:revision>2</cp:revision>
  <dcterms:created xsi:type="dcterms:W3CDTF">2026-02-12T08:17:00Z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1033-12.1.0.25180</vt:lpwstr>
  </property>
  <property fmtid="{D5CDD505-2E9C-101B-9397-08002B2CF9AE}" pid="3" name="ICV">
    <vt:lpwstr>E782E36929A84479BA05DDD8092616D6_13</vt:lpwstr>
  </property>
  <property fmtid="{D5CDD505-2E9C-101B-9397-08002B2CF9AE}" pid="4" name="KSOTemplateDocerSaveRecord">
    <vt:lpwstr>eyJoZGlkIjoiMmVhYjIwYTFkMDUyN2RmOGI2OTNiMWRjYmY5MjBlYTUifQ==</vt:lpwstr>
  </property>
</Properties>
</file>